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https://www.cnmc.es/expedientes/c005208</w:t>
      </w:r>
    </w:p>
    <w:p>
      <w:r>
        <w:t>Pages translated : 13</w:t>
      </w:r>
    </w:p>
    <w:p/>
    <w:p>
      <w:r>
        <w:rPr>
          <w:b/>
        </w:rPr>
        <w:t>[Pages 1–3]</w:t>
      </w:r>
    </w:p>
    <w:p>
      <w:r>
        <w:t>NATIONAL COMMISSION FOR COMPETITION RESOLUTION (File C-0052/08, LAFARGE/GRUPO GLA) COUNCIL Mr. Luis Berenguer Fuster, President Mr. Fernando Torremocha García-Sáenz, Vice President Mr. Emilio Conde Fernández Oliva, Councilor Mr. Miguel Cuerdo Mir, Councilor Ms. Pilar Sánchez Núñez, Councilor Mr. Julio Costas Comesaña, Councilor Ms. Mª Jesús González López, Councilor Ms. Inmaculada Gutiérrez Carrizo, Councilor In Madrid, on March 13, 2008. Having reviewed the file processed in accordance with Law 15/2007, of July 3, on the Defense of Competition, regarding the economic concentration operation consisting of the acquisition by LAFARGE S.A. of 50% of the share capital of the company GRUPO GLA CEMTOR S.A. (File C/0052/08)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NATIONAL COMMISSION DIRECTORATE OF COMPETITION INVESTIGATION REPORT AND PROPOSED RESOLUTION FILE C/0052/08 LAFARGE/GRUPO GLA On February 29, 2008, the Directorate of Investigation received the concentration operation consisting of the acquisition by LAFARGE, S.A. (hereinafter LAFARGE) of 50% of the share capital of the company GRUPO GLA CEMTOR S.A. (hereinafter GLA). Currently, 50% of GLA's share capital is owned by LAFARGE1, thus it concerns the acquisition of exclusive control over a company already under joint control. This notification has been made by LAFARGE, S.A. as established in Article 9 of Law 15/2007, of July 3, on the Defense of Competition for exceeding the thresholds set forth in Article 8.1.a) and b) of the aforementioned regulation. This operation is subject to the provisions of Royal Decree 261/2008, of February 22, which approves the Regulation on the Defense of Competition.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 In accordance with the provisions of Article 9.6 of Law 15/2007, the notifying party requests that the suspension of the execution of the concentration be lifted. According to the above, the deadline to agree to initiate the second phase of the procedure is March 29, 2008, inclusive. After this date, the notified operation will be considered tacitly authorized. I. NATURE OF THE OPERATION The notified concentration operation consists of the acquisition by LAFARGE of exclusive control of GLA, a company over which it exercised joint control. 1 On December 9, 2007, Lafarge signed a share purchase agreement with Orascon Construction Industries S.A.E. regarding the entirety of the share capital of OBMH, which included among its assets, 50% of the share capital of GLA. This operation was authorized by the National Commission for Competition on February 14, 2008 (Case C/0042/08 LAFARGE / OBMH). C/. Barquillo, 5, 28004 MADRID TEL.: 91 536 9003 FAX: 91 536 9005 The transaction is executed through a share purchase agreement signed on February 8, 2008, by which LAFARGE acquires 50% of the shares of Grupo GLA owned by Essentium Grupo S.L. The execution of the operation is conditioned upon its authorization by the competition authority of Spain. II. ACCESSORY RESTRICTIONS Within the framework of the signed contract, the parties have agreed to a non-competition commitment for a maximum period of two years, whereby the seller will not engage in activities or acquire shares in companies active in the markets of cement and clinker production in Spain. Furthermore, the agreement includes a non-solicitation clause for GLA employees for a maximum period of three years. Section 3 of Article 10 of Law 15/2007 establishes that "certain accessory restrictions on competition, directly linked to the operation and necessary for its realization, may be understood to be included." Taking into account national and community precedents, as well as the Commission's Communication on restrictions directly linked to the realization of a concentration and necessary for that purpose (2005/C 56/03), it is considered that in this case the content and duration of the non-competition and non-solicitation clauses do not go beyond what is reasonably required by the notified concentration operation. III. APPLICABILITY OF LAW 15/2007 ON THE DEFENSE OF COMPETITION According to the notifying party, the operation does not fall within the scope of Regulation (EC) No. 139/2004 of the Council, of January 20, on the control of concentrations between undertakings, as it does not exceed the thresholds of Article 1. However, the notified operation meets the requirements set forth by Law 15/2007 for its notification, as the thresholds established in Articles 8.1.a) and b) of the same have been exceeded. IV. PARTICIPATING COMPANIES IV.1. LAFARGE, S.A. (“LAFARGE”) LAFARGE is a company active worldwide in the production and sale of construction materials, listed on the Paris and New York stock exchanges. Its shares are dispersed among numerous shareholders, none of whom holds more than 15%. Therefore, according to the notifying party, LAFARGE is not under the joint or exclusive control of any natural or legal person. The acquirer operates globally in the production and sale of construction materials, with three main business areas: (i) cement, which represents [50-60%] of its global sales; (ii) concrete and aggregates, which account for [30-40%] of its global sales; and (iii) gypsum, with [0-10%] of its sales. In Spain, LAFARGE operates through three subsidiaries: Lafarge Cementos, S.A., Lafarge Áridos y Hormigones, S.A., and Almería Gypsum S.A. In the Spanish market, it produces and sells. NATIONAL COMMISSION FOR COMPETITION DIRECTORATE OF INVESTIGATION</w:t>
      </w:r>
    </w:p>
    <w:p>
      <w:r>
        <w:rPr>
          <w:b/>
        </w:rPr>
        <w:t>[Pages 4–6]</w:t>
      </w:r>
    </w:p>
    <w:p>
      <w:r>
        <w:t>mainly cement, aggregates, ready-mixed concrete, and mortar, for which it has various facilities and production plants.</w:t>
      </w:r>
    </w:p>
    <w:p>
      <w:r>
        <w:t>According to the information provided by the notifier, LAFARGE's revenue in the last three financial years in accordance with Article 5 of Royal Decree 261/2008 was as follows:</w:t>
      </w:r>
    </w:p>
    <w:p>
      <w:r>
        <w:t>LAFARGE SALES VOLUME*</w:t>
        <w:br/>
        <w:t>(MILLIONS OF EUROS)</w:t>
        <w:br/>
        <w:t>2004 2005 2006</w:t>
        <w:br/>
        <w:t>Worldwide</w:t>
        <w:br/>
        <w:t>[&gt;2500] [&gt;2500] [&gt;2500]</w:t>
        <w:br/>
        <w:t>EU [&gt;250] [&gt;250] [&gt;250]</w:t>
        <w:br/>
        <w:t>Spain [&gt;60] [&gt;60] [&gt;60]</w:t>
        <w:br/>
        <w:t>* Does not include the sales volume corresponding to the 50% shareholding of GLA held by LAFARGE</w:t>
        <w:br/>
        <w:t>Source: Notification</w:t>
      </w:r>
    </w:p>
    <w:p>
      <w:r>
        <w:t>IV.2. GRUPO GLA CEMTOR, S.A.</w:t>
      </w:r>
    </w:p>
    <w:p>
      <w:r>
        <w:t>Grupo GLA CEMTOR, S.A. is an active company in the construction materials sector, specifically in the production and sale of gray cement, aggregates, ready-mixed concrete, mortar, precast concrete2, and construction activities3. It has various facilities and production plants. Its activity is limited to the Spanish market.</w:t>
      </w:r>
    </w:p>
    <w:p>
      <w:r>
        <w:t>GRUPO GLA is currently jointly owned by the acquirer and Essentium Grupo, S.L., with each holding a 50% share.</w:t>
      </w:r>
    </w:p>
    <w:p>
      <w:r>
        <w:t>According to the information provided by the notifier, the revenue of the acquired company in the last three financial years in accordance with Article 5 of Royal Decree 261/2008 was as follows:</w:t>
      </w:r>
    </w:p>
    <w:p>
      <w:r>
        <w:t>GLA GROUP SALES VOLUME</w:t>
        <w:br/>
        <w:t>(MILLIONS OF EUROS)</w:t>
        <w:br/>
        <w:t>2004 2005 2006</w:t>
        <w:br/>
        <w:t>Worldwide [&lt;2500] [&lt;2500] [&lt;2500]</w:t>
        <w:br/>
        <w:t>EU [&lt;250] [&lt;250] [&lt;250]</w:t>
        <w:br/>
        <w:t>Spain [&gt;60] [&gt;60] [&gt;60]</w:t>
        <w:br/>
        <w:t>Source: Notification</w:t>
      </w:r>
    </w:p>
    <w:p>
      <w:r>
        <w:t>V. RELEVANT MARKETS</w:t>
      </w:r>
    </w:p>
    <w:p>
      <w:r>
        <w:t>V.1. Product Markets</w:t>
      </w:r>
    </w:p>
    <w:p>
      <w:r>
        <w:t>The sector of activity in which the operation is framed is the manufacture and marketing of construction materials.</w:t>
      </w:r>
    </w:p>
    <w:p>
      <w:r>
        <w:t>Considering the activity of the parties, the relevant markets for the analysis of the current operation according to various community4 and national5 precedents are as follows:</w:t>
      </w:r>
    </w:p>
    <w:p>
      <w:r>
        <w:t>2 According to the notifier, GLA's share in the national market for precast concrete in a broad sense is irrelevant [0-10%], not reaching 10% in any of the segments identified in this type of products.</w:t>
        <w:br/>
        <w:t>3 According to the notifier, GLA's share in the national construction market is below [0-10%] regardless of the definition of the product market in this sector.</w:t>
        <w:br/>
        <w:t>4 Among others, M.3572 CEMEX/RMC; M.2317 LAFARGE/BLUE CIRCLE; M.1779 ANGLO AMERICAN/TARMAC; M.1460 LAFARGE/TITAN and M.1030 LAFARGE/REDLAND.</w:t>
      </w:r>
    </w:p>
    <w:p>
      <w:r>
        <w:t>V.1.1 Gray Cement</w:t>
      </w:r>
    </w:p>
    <w:p>
      <w:r>
        <w:t>Cement is a mineral-based binder, difficult to substitute, used as an intermediate product, among others, for the production of concrete and its derivatives.</w:t>
      </w:r>
    </w:p>
    <w:p>
      <w:r>
        <w:t>In national and community precedents, two markets have been differentiated according to the type of cement: gray, widely used in construction, and white, mainly used for decorative purposes. The latter represents a very small percentage of total consumption.</w:t>
      </w:r>
    </w:p>
    <w:p>
      <w:r>
        <w:t>LAFARGE produces and sells both types of cement. GLA only produces and sells gray cement.</w:t>
      </w:r>
    </w:p>
    <w:p>
      <w:r>
        <w:t>All types of cement are derived from a single intermediate product, a gray powder composed of calcined silicates known as clinker, which is obtained from the firing of non-clay calcareous materials.</w:t>
      </w:r>
    </w:p>
    <w:p>
      <w:r>
        <w:t>None of the parties markets clinker as an intermediate product, so it is not considered necessary in this case to analyze that market.</w:t>
      </w:r>
    </w:p>
    <w:p>
      <w:r>
        <w:t>V.1.2 Aggregates</w:t>
      </w:r>
    </w:p>
    <w:p>
      <w:r>
        <w:t>Aggregates are granular materials (crushed rock, gravel, and sand) that serve, among other uses, as a base in many construction applications, whether for preparing the foundations of buildings and public works, producing concrete, mortar, and asphalt (in the case of rock and gravel) or for producing concrete (sand, almost exclusively).</w:t>
      </w:r>
    </w:p>
    <w:p>
      <w:r>
        <w:t>Both parties are active in the production and sale of aggregates.</w:t>
      </w:r>
    </w:p>
    <w:p>
      <w:r>
        <w:t>V.1.3 Ready-Mixed Concrete</w:t>
      </w:r>
    </w:p>
    <w:p>
      <w:r>
        <w:t>Concrete is a construction material derived from cement and obtained by mixing this product with aggregates, water, and additives. Cement accounts for 10-15% of its composition while aggregates represent 85-90%.</w:t>
      </w:r>
    </w:p>
    <w:p>
      <w:r>
        <w:t>Both national competition authorities and the European Commission have distinguished between on-site concrete and industrial concrete, and within the latter, between dry or premixed concrete and wet or prepared concrete.</w:t>
      </w:r>
    </w:p>
    <w:p>
      <w:r>
        <w:t>The parties are only active in the production and sale of prepared industrial concrete.</w:t>
      </w:r>
    </w:p>
    <w:p>
      <w:r>
        <w:t>V.1.4 Mortar</w:t>
      </w:r>
    </w:p>
    <w:p>
      <w:r>
        <w:t>Mortar is a construction material obtained from the mixture of a binder (mainly cement, although sometimes lime is also used), sand, and water, which serves, among other purposes, to bind the stones or bricks that make up the works, as well as for plastering or rendering. Depending on various factors, such as the nature of the materials to be joined or the effect to be achieved, some specific type of additive is usually added to the mortar, for example, waterproofing agents or colorants.</w:t>
      </w:r>
    </w:p>
    <w:p>
      <w:r>
        <w:t>5 Among others, from the TDC: C09/92 CEMEX/SANSON; those from the SDC: N-05101 LAFARGE ASLAND/READYMIX ASLAND; N-05106 CEMENTOS PORTLAND LEMONA; N-06057 PORTLAND/UNILAND; N-06092 CORPORACION NOROESTE/SANI and the most recent from the CNC C/OO25/07 EIFFAGE/LOS SERRANO and C/0042/08 LAFARGE/OBMH.</w:t>
      </w:r>
    </w:p>
    <w:p>
      <w:r>
        <w:t>Within mortars, the aforementioned national and community precedents have considered the possibility of distinguishing between on-site mortars and industrial mortars, and within these, between wet mortar and dry mortar.</w:t>
      </w:r>
    </w:p>
    <w:p>
      <w:r>
        <w:t>The participating companies only produce industrial mortars. LAFARGE is active in the production of both wet and dry mortar, while GLA only produces dry mortar.</w:t>
      </w:r>
    </w:p>
    <w:p>
      <w:r>
        <w:t>Taking all of the above into account, the effects of the current operation will be analyzed in the industrial mortar market as a whole and in the narrower segment of dry mortar, without the need, in the context of the notified concentration, to establish a definitive definition of these markets, as it does not affect the conclusions of the analysis.</w:t>
      </w:r>
    </w:p>
    <w:p>
      <w:r>
        <w:t>V.2 Geographic Market</w:t>
      </w:r>
    </w:p>
    <w:p>
      <w:r>
        <w:t>V.2.1 Cement</w:t>
      </w:r>
    </w:p>
    <w:p>
      <w:r>
        <w:t>In various national precedents, the gray cement market has been analyzed in a national and regional dimension.</w:t>
      </w:r>
    </w:p>
    <w:p>
      <w:r>
        <w:t>LAFARGE has plants in Toledo, Barcelona, Valencia, Tarragona, and Murcia, while GLA is present in Valladolid, Toledo, and Murcia.</w:t>
      </w:r>
    </w:p>
    <w:p>
      <w:r>
        <w:t>However, for the purposes of the present operation, it is not necessary to delineate the relevant geographic scope of gray cement, as it does not affect the conclusions of the analysis.</w:t>
      </w:r>
    </w:p>
    <w:p>
      <w:r>
        <w:t>Consequently, and considering the location of the cement plants of the parties, the analysis of the operation will be carried out at the national level and in the Central Zone6 and Eastern Zone7.</w:t>
      </w:r>
    </w:p>
    <w:p>
      <w:r>
        <w:t>V.2.2 Aggregates</w:t>
      </w:r>
    </w:p>
    <w:p>
      <w:r>
        <w:t>Since distances exceeding one hour of transport are usually not cost-effective for transporting aggregates, in the most recent national precedents8, an area with a radius of 50-80 kilometers has been defined as the limit, so that, in practice, the market was delineated as provincial or regional in scope.</w:t>
      </w:r>
    </w:p>
    <w:p>
      <w:r>
        <w:t>LAFARGE has aggregate production centers in Asturias, Madrid, Valencia, Castellón, Barcelona, and Tarragona, while GLA is present in Cantabria, Burgos, Toledo, Madrid, Ciudad Real, Valencia, and Murcia.</w:t>
      </w:r>
    </w:p>
    <w:p>
      <w:r>
        <w:t>Consequently, the markets of Madrid and Valencia (where the activities of the parties overlap) will be analyzed.</w:t>
      </w:r>
    </w:p>
    <w:p>
      <w:r>
        <w:t>However, it is not necessary to finalize the definition of the relevant geographic scope, as it does not affect the conclusions of the analysis.</w:t>
      </w:r>
    </w:p>
    <w:p>
      <w:r>
        <w:t>V.2.3 Ready-Mixed Concrete</w:t>
      </w:r>
    </w:p>
    <w:p>
      <w:r>
        <w:t>Both the European Commission and national competition authorities have considered that the maximum distance for supplying ready-mixed concrete from the plant is</w:t>
      </w:r>
    </w:p>
    <w:p>
      <w:r>
        <w:rPr>
          <w:b/>
        </w:rPr>
        <w:t>[Pages 7–9]</w:t>
      </w:r>
    </w:p>
    <w:p>
      <w:r>
        <w:t>the preparation to the point of use is limited. Therefore, the ready-mixed concrete market has been defined as basically local.</w:t>
      </w:r>
    </w:p>
    <w:p>
      <w:r>
        <w:t>LAFARGE has plants in various locations in Madrid, Guadalajara, Albacete, Asturias, La Coruña, León, Lugo, Pontevedra, Ciudad Real, Toledo, Granada, Almería, Jaén, Málaga, Almería, Valencia, Castellón, Alicante, Murcia, Barcelona, Gerona, and Tarragona.</w:t>
      </w:r>
    </w:p>
    <w:p>
      <w:r>
        <w:t>GLA has facilities in various locations in Madrid, Toledo, Ciudad Real, Valladolid, Cuenca, Zaragoza, Alicante, Barcelona, Castellón, Valencia, and Orense.</w:t>
      </w:r>
    </w:p>
    <w:p>
      <w:r>
        <w:t>For the purposes of this operation, it is not necessary to delineate the relevant geographical scope of ready-mixed concrete, as it does not affect the conclusions of the analysis.</w:t>
      </w:r>
    </w:p>
    <w:p>
      <w:r>
        <w:t>Consequently, the impact of the operation will be analyzed in the following provincial markets of ready-mixed concrete, where both parties coincide and the joint share exceeds [10-20%]: Madrid, Ciudad Real, and Valencia.</w:t>
      </w:r>
    </w:p>
    <w:p>
      <w:r>
        <w:t>V.2.4 Mortar</w:t>
      </w:r>
    </w:p>
    <w:p>
      <w:r>
        <w:t>Mortar is a derivative of cement with a limited lifespan and high transportation costs.</w:t>
      </w:r>
    </w:p>
    <w:p>
      <w:r>
        <w:t>According to existing precedents, the maximum distance for the supply of such a product from the factory to the point of use is approximately 120 kilometers, so the impact of the operation will be analyzed at the provincial level.</w:t>
      </w:r>
    </w:p>
    <w:p>
      <w:r>
        <w:t>The activities of the parties in the production of mortar overlap in the provinces of Albacete and Ciudad Real9.</w:t>
      </w:r>
    </w:p>
    <w:p>
      <w:r>
        <w:t>In line with the above, and without closing the relevant geographical scope as it does not affect the conclusions of the analysis, the impact of the operation will be analyzed in the mortar market as a whole, as well as the narrower segment of dry mortar produced by GLA in the province of Ciudad Real.</w:t>
      </w:r>
    </w:p>
    <w:p>
      <w:r>
        <w:t>V.3. Conclusion</w:t>
      </w:r>
    </w:p>
    <w:p>
      <w:r>
        <w:t>In light of all the above, the following markets are considered relevant for the analysis of the current operation:</w:t>
      </w:r>
    </w:p>
    <w:p>
      <w:r>
        <w:t xml:space="preserve">(i) Gray cement, both at the national level and in the Central and Eastern zones. </w:t>
        <w:br/>
        <w:t xml:space="preserve">(ii) Aggregates, in the areas of the Community of Madrid and the province of Valencia. </w:t>
        <w:br/>
        <w:t xml:space="preserve">(iii) Ready-mixed concrete in the markets of Madrid, Ciudad Real, and Valencia. </w:t>
        <w:br/>
        <w:t>(iv) Mortar and the dry mortar segment in the provincial markets of Albacete and Ciudad Real.</w:t>
      </w:r>
    </w:p>
    <w:p>
      <w:r>
        <w:t>No narrower geographical market segmentations are analyzed, as there is no modification of the supply structure and the conclusions do not differ substantially from those obtained for the immediately higher geographical scope, as has been demonstrated in file C-0042 LAFARGE/OBMH.</w:t>
      </w:r>
    </w:p>
    <w:p>
      <w:r>
        <w:t>9 Additionally, GLA is present in the province of Murcia, although its share is only [0-10%] in the general market and [10-20%] in the dry mortar segment.</w:t>
      </w:r>
    </w:p>
    <w:p>
      <w:r>
        <w:t>NATIONAL COMMISSION FOR COMPETITION DIRECTORATE OF INVESTIGATION</w:t>
      </w:r>
    </w:p>
    <w:p>
      <w:r>
        <w:t>VI. MARKET ANALYSIS</w:t>
      </w:r>
    </w:p>
    <w:p>
      <w:r>
        <w:t>VI.1. Structure of Supply</w:t>
      </w:r>
    </w:p>
    <w:p>
      <w:r>
        <w:t>Below, the market shares of the parties and their main competitors in the relevant markets are examined.</w:t>
      </w:r>
    </w:p>
    <w:p>
      <w:r>
        <w:t>VI.2.1. Gray Cement</w:t>
      </w:r>
    </w:p>
    <w:p>
      <w:r>
        <w:t>The supply of gray cement in the Spanish market is comprised of large companies, several of which are multinationals.</w:t>
      </w:r>
    </w:p>
    <w:p>
      <w:r>
        <w:t>The following table shows the market shares in the Spanish peninsular market in the year 2006:</w:t>
      </w:r>
    </w:p>
    <w:p>
      <w:r>
        <w:t>SPANISH PENINSULAR MARKET FOR GRAY CEMENT (YEAR 2006)</w:t>
      </w:r>
    </w:p>
    <w:p>
      <w:r>
        <w:t xml:space="preserve">COMPANY Thousands of Tons Share (%) </w:t>
        <w:br/>
        <w:t xml:space="preserve">LAFARGE […] [10-20%] </w:t>
        <w:br/>
        <w:t xml:space="preserve">GRUPO GLA […] [0-10%] </w:t>
        <w:br/>
        <w:t xml:space="preserve">Joint Share (LAFARGE + GLA) […] [10-20%] </w:t>
        <w:br/>
        <w:t xml:space="preserve">PORTLAND […] [20-30%] </w:t>
        <w:br/>
        <w:t xml:space="preserve">CEMEX […] [20-30%] </w:t>
        <w:br/>
        <w:t xml:space="preserve">HOLCIM […] [10-20%] </w:t>
        <w:br/>
        <w:t xml:space="preserve">CIMPOR […] [0-10%] </w:t>
        <w:br/>
        <w:t xml:space="preserve">TUDELA VEGIN […] [0-10%] </w:t>
        <w:br/>
        <w:t xml:space="preserve">ITALCEMENTI […] [0-10%] </w:t>
        <w:br/>
        <w:t xml:space="preserve">CEMENTOS MOLINS […] [0-10%] </w:t>
        <w:br/>
        <w:t xml:space="preserve">OTHERS […] [10-20%] </w:t>
        <w:br/>
        <w:t>TOTAL […] 100</w:t>
      </w:r>
    </w:p>
    <w:p>
      <w:r>
        <w:t>Source: Notification</w:t>
      </w:r>
    </w:p>
    <w:p>
      <w:r>
        <w:t>According to the table above, LAFARGE has a share of [10-20%] from sales of gray cement in the peninsula. The share acquired from GLA is only [0-10%], resulting in a joint share of [10-20%].</w:t>
      </w:r>
    </w:p>
    <w:p>
      <w:r>
        <w:t>By narrower geographical areas, according to the information from the notifier, the participation of LAFARGE and Grupo GLA during 2006 does not differ substantially:</w:t>
      </w:r>
    </w:p>
    <w:p>
      <w:r>
        <w:t>In the Central Zone, the joint share of both parties by tons sold was [10-20%] ([10-20%] from LAFARGE + [0-10%] from GLA). In the Levante Zone, the share of the parties during 2006 was [10-20%] for LAFARGE while GLA sold [0-10%].</w:t>
      </w:r>
    </w:p>
    <w:p>
      <w:r>
        <w:t>VI.2.2. Aggregates</w:t>
      </w:r>
    </w:p>
    <w:p>
      <w:r>
        <w:t>The structure of the provincial aggregate markets in Madrid and Valencia is characterized by its great fragmentation.</w:t>
      </w:r>
    </w:p>
    <w:p>
      <w:r>
        <w:t>In the Community of Madrid, the joint share of the parties by tons sold in 2006 was [0-10%] ([0-10%] from LAFARGE + [0-10%] from GLA).</w:t>
      </w:r>
    </w:p>
    <w:p>
      <w:r>
        <w:t>In the province of Valencia, the joint share of the parties was [0-10%] ([0-10%] from LAFARGE + [0-10%] from GLA).</w:t>
      </w:r>
    </w:p>
    <w:p>
      <w:r>
        <w:t>NATIONAL COMMISSION FOR COMPETITION DIRECTORATE OF INVESTIGATION</w:t>
      </w:r>
    </w:p>
    <w:p>
      <w:r>
        <w:t>VI.2.3. Ready-Mixed Concrete</w:t>
      </w:r>
    </w:p>
    <w:p>
      <w:r>
        <w:t>A.- Ciudad Real</w:t>
      </w:r>
    </w:p>
    <w:p>
      <w:r>
        <w:t>The following table shows the shares of the parties and their main competitors in the province of Ciudad Real during the last three years:</w:t>
      </w:r>
    </w:p>
    <w:p>
      <w:r>
        <w:t>PROVINCIAL MARKET FOR READY-MIXED CONCRETE IN CIUDAD REAL (Shares in % per m3)</w:t>
      </w:r>
    </w:p>
    <w:p>
      <w:r>
        <w:t xml:space="preserve">Company 2004 (%) 2005 (%) 2006 (%) </w:t>
        <w:br/>
        <w:t xml:space="preserve">LAFARGE [10-20%] [10-20%] [10-20%] </w:t>
        <w:br/>
        <w:t xml:space="preserve">GLA [0-10%] [10-20%] [10-20%] </w:t>
        <w:br/>
        <w:t xml:space="preserve">Joint Share (LAFARGE + GLA) [10-20%] [20-30%] [20-30%] </w:t>
        <w:br/>
        <w:t xml:space="preserve">CEMEX [20-30%] [10-20%] [10-20%] </w:t>
        <w:br/>
        <w:t xml:space="preserve">OTHERS [60-70%] [60-70%] [50-60%] </w:t>
        <w:br/>
        <w:t>Total 100 100 100</w:t>
      </w:r>
    </w:p>
    <w:p>
      <w:r>
        <w:t>Source: Notification</w:t>
      </w:r>
    </w:p>
    <w:p>
      <w:r>
        <w:t>GLA holds the first position in ready-mixed concrete sales in this provincial market, with a [10-20%]. LAFARGE is the third operator with a [10-20%]. The operation will result in a share for the acquirer of [20-30%], positioning it as the sales leader.</w:t>
      </w:r>
    </w:p>
    <w:p>
      <w:r>
        <w:t>B).- Valencia</w:t>
      </w:r>
    </w:p>
    <w:p>
      <w:r>
        <w:t>The following tables reflect the shares of the parties and their main competitors during the last three years in the ready-mixed concrete market in the provincial area of Valencia.</w:t>
      </w:r>
    </w:p>
    <w:p>
      <w:r>
        <w:t>PROVINCIAL MARKET FOR READY-MIXED CONCRETE – VALENCIA (Shares in % per m3)</w:t>
      </w:r>
    </w:p>
    <w:p>
      <w:r>
        <w:t xml:space="preserve">Company 2004 2005 2006 </w:t>
        <w:br/>
        <w:t xml:space="preserve">LAFARGE [0-10%] [0-10%] [10-20%] </w:t>
        <w:br/>
        <w:t xml:space="preserve">GLA [0-10%] [10-20%] [10-20%] </w:t>
        <w:br/>
        <w:t xml:space="preserve">Joint Share (LAFARGE + GLA) [0-10%] [10-20%] [20-30%] </w:t>
        <w:br/>
        <w:t xml:space="preserve">CEMEX [10-20%] [10-20%] [10-20%] </w:t>
        <w:br/>
        <w:t xml:space="preserve">LA UNIÓN [0-10%] [0-10%] [0-10%] </w:t>
        <w:br/>
        <w:t xml:space="preserve">CEMENTAL [0-10%] [0-10%] [0-10%] </w:t>
        <w:br/>
        <w:t xml:space="preserve">CALETA [0-10%] [0-10%] [0-10%] </w:t>
        <w:br/>
        <w:t xml:space="preserve">COMBO [0-10%] [0-10%] [0-10%] </w:t>
        <w:br/>
        <w:t xml:space="preserve">CAPLANSA [0-10%] [0-10%] [0-10%] </w:t>
        <w:br/>
        <w:t xml:space="preserve">BUÑOL [0-10%] [0-10%] [0-10%] </w:t>
        <w:br/>
        <w:t xml:space="preserve">OTHERS [50-60%] [30-40%] [30-40%] </w:t>
        <w:br/>
        <w:t>Total 100 100 100</w:t>
      </w:r>
    </w:p>
    <w:p>
      <w:r>
        <w:t>According to the previous tables, LAFARGE, which had been operating as the third most important company, will become the leading seller of ready-mixed concrete in the provincial area, with a joint share of [20-30%] and an acquired share of [10-20%].</w:t>
      </w:r>
    </w:p>
    <w:p>
      <w:r>
        <w:t>NATIONAL COMMISSION FOR COMPETITION DIRECTORATE OF INVESTIGATION</w:t>
      </w:r>
    </w:p>
    <w:p>
      <w:r>
        <w:rPr>
          <w:b/>
        </w:rPr>
        <w:t>[Pages 10–12]</w:t>
      </w:r>
    </w:p>
    <w:p>
      <w:r>
        <w:t>C).- Madrid</w:t>
      </w:r>
    </w:p>
    <w:p>
      <w:r>
        <w:t xml:space="preserve">PROVINCIAL MARKET OF READY-MIXED CONCRETE - MADRID  </w:t>
        <w:br/>
        <w:t xml:space="preserve">(Percentages in % per m3)  </w:t>
        <w:br/>
        <w:t xml:space="preserve">Company 2004 2005 2006  </w:t>
        <w:br/>
        <w:t xml:space="preserve">LAFARGE [0-10%] [0-10%] [0-10%]  </w:t>
        <w:br/>
        <w:t xml:space="preserve">GLA [0-10%] [0-10%] [10-20%]  </w:t>
        <w:br/>
        <w:t xml:space="preserve">Joint Share (LAFARGE + GLA) [0-10%] [10-20%] [10-20%]  </w:t>
        <w:br/>
        <w:t xml:space="preserve">HYMPSA [0-10%] [0-10%] [0-10%]  </w:t>
        <w:br/>
        <w:t xml:space="preserve">TARMAC [0-10%] [0-10%] [0-10%]  </w:t>
        <w:br/>
        <w:t xml:space="preserve">OTHERS [70-80%] [60-70%] [60-70%]  </w:t>
        <w:br/>
        <w:t xml:space="preserve">Total 100 100 100  </w:t>
        <w:br/>
        <w:t>Source: Notification</w:t>
      </w:r>
    </w:p>
    <w:p>
      <w:r>
        <w:t>In the Madrid market, the joint share of the parties is [10-20%], with an addition of [10-20%] points, which will position the resulting entity as the leading operator.</w:t>
      </w:r>
    </w:p>
    <w:p>
      <w:r>
        <w:t>VI. 2.4. Mortar</w:t>
      </w:r>
    </w:p>
    <w:p>
      <w:r>
        <w:t>The following table shows the structure of the general mortar market in the provincial markets of Albacete and Ciudad Real:</w:t>
      </w:r>
    </w:p>
    <w:p>
      <w:r>
        <w:t xml:space="preserve">GENERAL MORTAR MARKET IN ALBACETE AND CIUDAD REAL  </w:t>
        <w:br/>
        <w:t xml:space="preserve">(Percentages in % per m3)  </w:t>
        <w:br/>
        <w:t xml:space="preserve">Company 2006  </w:t>
        <w:br/>
        <w:t xml:space="preserve">ALBACETE  </w:t>
        <w:br/>
        <w:t xml:space="preserve">LAFARGE [0-10%]  </w:t>
        <w:br/>
        <w:t xml:space="preserve">GLA [10-20%]  </w:t>
        <w:br/>
        <w:t xml:space="preserve">Joint Share (LAFARGE + GLA) [10-20%]  </w:t>
        <w:br/>
        <w:t xml:space="preserve">SANTANA [30-40%]  </w:t>
        <w:br/>
        <w:t xml:space="preserve">CEMENVAL [0-10%]  </w:t>
        <w:br/>
        <w:t xml:space="preserve">OTHERS [40-50%]  </w:t>
        <w:br/>
        <w:t>TOTAL 100</w:t>
      </w:r>
    </w:p>
    <w:p>
      <w:r>
        <w:t xml:space="preserve">CIUDAD REAL  </w:t>
        <w:br/>
        <w:t xml:space="preserve">LAFARGE [0-10%]  </w:t>
        <w:br/>
        <w:t xml:space="preserve">GLA [10-20%]  </w:t>
        <w:br/>
        <w:t xml:space="preserve">Joint Share (LAFARGE + GLA) [20-30%]  </w:t>
        <w:br/>
        <w:t xml:space="preserve">CEMEX [20-30%]  </w:t>
        <w:br/>
        <w:t xml:space="preserve">HORPREIMA [20-30%]  </w:t>
        <w:br/>
        <w:t xml:space="preserve">OTHERS [10-20%]  </w:t>
        <w:br/>
        <w:t>TOTAL 100</w:t>
      </w:r>
    </w:p>
    <w:p>
      <w:r>
        <w:t>Source: Notification</w:t>
      </w:r>
    </w:p>
    <w:p>
      <w:r>
        <w:t>In Albacete, the joint share of the parties in the general mortar market reaches [10-20%], making LAFARGE the second operator. In Ciudad Real, the resulting share is higher at [20-30%], placing LAFARGE on par with CEMEX, the main competitor in this province.</w:t>
      </w:r>
    </w:p>
    <w:p>
      <w:r>
        <w:t xml:space="preserve">NATIONAL COMMISSION OF COMPETITION  </w:t>
        <w:br/>
        <w:t>DIRECTORATE OF INVESTIGATION</w:t>
      </w:r>
    </w:p>
    <w:p>
      <w:r>
        <w:t>Segment of Dry Mortar</w:t>
      </w:r>
    </w:p>
    <w:p>
      <w:r>
        <w:t>The main joint presence of the parties in this segment occurs in the provincial market of Ciudad Real, whose structure is as follows:</w:t>
      </w:r>
    </w:p>
    <w:p>
      <w:r>
        <w:t xml:space="preserve">DRY MORTAR SEGMENT IN CIUDAD REAL  </w:t>
        <w:br/>
        <w:t xml:space="preserve">(Percentages in % per m3)  </w:t>
        <w:br/>
        <w:t xml:space="preserve">Company 2004 2005 2006  </w:t>
        <w:br/>
        <w:t xml:space="preserve">LAFARGE [0-10%] [20-30%] [10-20%]  </w:t>
        <w:br/>
        <w:t xml:space="preserve">GLA [0-10%] [0-10%] [20-30%]  </w:t>
        <w:br/>
        <w:t xml:space="preserve">Joint Share (LAFARGE + GLA) [0-10%] [20-30%] [30-40%]  </w:t>
        <w:br/>
        <w:t xml:space="preserve">XIMOR [10-20%] [10-20%] [10-20%]  </w:t>
        <w:br/>
        <w:t xml:space="preserve">VALDERRIVAS [10-20%] [10-20%] [10-20%]  </w:t>
        <w:br/>
        <w:t xml:space="preserve">CEMEX [0-10%] [0-10%] [0-10%]  </w:t>
        <w:br/>
        <w:t xml:space="preserve">OTHERS [50-60%] [30-40%] [20-30%]  </w:t>
        <w:br/>
        <w:t>TOTAL 100 100 100</w:t>
      </w:r>
    </w:p>
    <w:p>
      <w:r>
        <w:t>Source: Notification</w:t>
      </w:r>
    </w:p>
    <w:p>
      <w:r>
        <w:t>In the dry mortar segment in Ciudad Real, LAFARGE and GLA were the two leading operators. The resulting share of [30-40%], with an addition of [20-30%] points, will consolidate LAFARGE's position as the leading company in this segment in that province.</w:t>
      </w:r>
    </w:p>
    <w:p>
      <w:r>
        <w:t>VII. ASSESSMENT OF THE OPERATION</w:t>
      </w:r>
    </w:p>
    <w:p>
      <w:r>
        <w:t>The operation consists of the acquisition by LAFARGE of 50% of the share capital of GRUPO GLA owned by Essentium. The other 50% of the share capital is already owned by LAFARGE, thus it concerns the acquisition of exclusive control over a company already under joint control.</w:t>
      </w:r>
    </w:p>
    <w:p>
      <w:r>
        <w:t>The markets concerned in Spain are cement, aggregates, ready-mixed concrete, and mortar. As a result of the operation, there is no modification of the supply structure, as LAFARGE already jointly controlled GLA.</w:t>
      </w:r>
    </w:p>
    <w:p>
      <w:r>
        <w:t>In the grey cement market, the joint shares of LAFARGE and GLA do not exceed [10-20%] in any of the relevant geographical areas.</w:t>
      </w:r>
    </w:p>
    <w:p>
      <w:r>
        <w:t>In the provincial aggregate markets, Madrid and Valencia are the only provinces where joint activity occurs, with a resulting very low share of [0-10%] and [0-10%], respectively.</w:t>
      </w:r>
    </w:p>
    <w:p>
      <w:r>
        <w:t>In both the cement markets and the various provincial aggregate markets, there is a considerable number of operators with shares equal to or greater than those of the resulting entity.</w:t>
      </w:r>
    </w:p>
    <w:p>
      <w:r>
        <w:t>In the ready-mixed concrete markets, the resulting entity will become the leading sales company in all analyzed provincial markets, namely Ciudad Real, Valencia, and Madrid, although the joint shares as a result of the operation do not exceed [20-30%].</w:t>
      </w:r>
    </w:p>
    <w:p>
      <w:r>
        <w:t>In the general industrial mortar market, the combination of the businesses of both parties will yield LAFARGE a share of [20-30%] in the provincial area of Ciudad Real and [10-20%] in Albacete.</w:t>
      </w:r>
    </w:p>
    <w:p>
      <w:r>
        <w:t xml:space="preserve">NATIONAL COMMISSION OF COMPETITION  </w:t>
        <w:br/>
        <w:t>DIRECTORATE OF INVESTIGATION</w:t>
      </w:r>
    </w:p>
    <w:p>
      <w:r>
        <w:t>In the narrower segment of industrial dry mortar, overlap only occurs in Ciudad Real, with a joint share of [30-40%] ([20-30%] of the acquired).</w:t>
      </w:r>
    </w:p>
    <w:p>
      <w:r>
        <w:t>Although the concentration will have vertical effects due to the reinforcement of LAFARGE's vertical integration in the relevant markets, given the moderate shares of the parties in the considered markets, it is not expected that such effects will pose a threat to effective competition. Furthermore, there is a considerable number of competitors operating in all these markets that are also vertically integrated.</w:t>
      </w:r>
    </w:p>
    <w:p>
      <w:r>
        <w:t>In light of the above considerations, it is not expected that the operation will pose a threat to effective competition in any of the considered markets.</w:t>
      </w:r>
    </w:p>
    <w:p>
      <w:r>
        <w:t>VIII. PROPOSAL</w:t>
      </w:r>
    </w:p>
    <w:p>
      <w:r>
        <w:t>In view of all the above and by virtue of Article 57.1 of Law 15/2007, of July 3, on the Defense of Competition, it is proposed to authorize the concentration, in application of Article 57.2.a) of Law 15/2007, of July 3, on the Defense of Competition.</w:t>
      </w:r>
    </w:p>
    <w:p>
      <w:r>
        <w:t xml:space="preserve">NATIONAL COMMISSION OF COMPETITION  </w:t>
        <w:br/>
        <w:t>DIRECTORATE OF INVESTIGATION</w:t>
      </w:r>
    </w:p>
    <w:p>
      <w:r>
        <w:rPr>
          <w:b/>
        </w:rPr>
        <w:t>[Pages 13–13]</w:t>
      </w:r>
    </w:p>
    <w:p>
      <w:r>
        <w:t>NATIONAL COMMISSION OF COMPETITION 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