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https://www.cnmc.es/expedientes/c005508</w:t>
      </w:r>
    </w:p>
    <w:p>
      <w:r>
        <w:t>Pages translated : 1</w:t>
      </w:r>
    </w:p>
    <w:p/>
    <w:p>
      <w:r>
        <w:rPr>
          <w:b/>
        </w:rPr>
        <w:t>[Pages 1–1]</w:t>
      </w:r>
    </w:p>
    <w:p>
      <w:r>
        <w:t>RESOLUTION (File No. C-0055/08, ARSENAL/DSP)</w:t>
        <w:br/>
        <w:t>COUNCIL</w:t>
        <w:br/>
        <w:t>Mr. Luis Berenguer Fuster, President</w:t>
        <w:br/>
        <w:t>Mr. Fernando Torremocha García-Sáenz, Vice President</w:t>
        <w:br/>
        <w:t>Mr. Emilio Conde Fernández Oliva, Councilor</w:t>
        <w:br/>
        <w:t>Mr. Miguel Cuerdo Mir, Councilor</w:t>
        <w:br/>
        <w:t>Ms. Pilar Sánchez Núñez, Councilor</w:t>
        <w:br/>
        <w:t>Mr. Julio Costas Comesaña, Councilor</w:t>
        <w:br/>
        <w:t>Ms. Mª Jesús González López, Councilor</w:t>
        <w:br/>
        <w:t>Ms. Inmaculada Gutiérrez Carrizo, Councilor</w:t>
        <w:br/>
        <w:t>In Madrid, on May 22, 2008.</w:t>
        <w:br/>
        <w:t>Having reviewed the file processed in accordance with Article 9 of Law 15/2007, of July 3, on the Defense of Competition, concerning the economic concentration operation consisting of the acquisition by ARSENAL CAPITAL MANAGEMENT LP of exclusive control over DSM SPECIAL PRODUCTS B.V. (File No. C-0055/08) and in agreement with the report and proposal submitted by the Directorate of Investigation, the Council of the National Competition Commission has resolved, by virtue of Articles 34.1.c) and 57.2.d) of Law 15/2007, of July 3, on the Defense of Competition, to agree to refer the concentration to the European Commission, in application of Article 22 of Council Regulation (EC) 139/2004 of January 20, on the control of concentrations between undertakings and to file the corresponding notification.</w:t>
        <w:br/>
        <w:t>This Resolution shall be communicated to the Directorate-General for Competition of the European Commission and to the Directorate of Investigation of the National Competition Commission and shall be notified to the interested party, informing them that the competence to adopt a decision on the matter corresponds to the European Commission in accordance with community regulations and that, therefore, the operation cannot benefit from the positive silence provided for in Article 38 of Law 15/2007.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