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https://www.cnmc.es/expedientes/c007308</w:t>
      </w:r>
    </w:p>
    <w:p>
      <w:r>
        <w:t>Pages translated : 10</w:t>
      </w:r>
    </w:p>
    <w:p/>
    <w:p>
      <w:r>
        <w:rPr>
          <w:b/>
        </w:rPr>
        <w:t>[Pages 1–3]</w:t>
      </w:r>
    </w:p>
    <w:p>
      <w:r>
        <w:t>NATIONAL COMMISSION FOR COMPETITION RESOLUTION (File C-0073/08, HONEYWELL/METROLOGIC) COUNCIL D. Luis Berenguer Fuster, President D. Fernando Torremocha García-Sáens, Vice President D. Emilio Conde Fernández Oliva, Councilor D. Miguel Cuerdo Mir, Councilor Dª Pilar Sánchez Núñez, Councilor D. Julio Costas Comesaña, Councilor Dª Mª Jesús González López, Councilor Dª Inmaculada Gutiérrez Carrizo, Councilor In Madrid, on June 12, 2008. Having reviewed the file processed in accordance with Law 15/2007, of July 3, on the Defense of Competition, regarding the acquisition by HONEYWELL INTERNATIONAL INC. of exclusive control over METROLOGIC INSTRUMENTS INC. (File C/0073/08) and agreeing with the report and proposal submitted by the Directorate of Investigation, the Council of the National Commission for Competition has resolved, under the application of Article 57.2.a) of the aforementioned Law, to authorize the said concentration operation in the first phase. 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 DIRECTORATE OF COMPETITION INVESTIGATION REPORT AND PROPOSED RESOLUTION FILE C/0073/08 HONEYWELL/METROLOGIC On May 23, 2008, a notification regarding the concentration operation consisting of the acquisition by HONEYWELL INTERNATIONAL INC. (“HONEYWELL”) of exclusive control over METROLOGIC INSTRUMENTS INC. (“METROLOGIC”) was received by this Directorate of Investigation. This notification was made by HONEYWELL, as established in Article 9 of Law 15/2007, of July 3, on the Defense of Competition (hereinafter “LDC”) for exceeding the threshold established in Article 8.1.a) of the aforementioned regulation. This operation is subject to the provisions of Royal Decree 261/2008, of February 22, which approves the Competition Defense Regulation. Article 57.2.c) of the LDC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Furthermore, Article 38.2 of the LDC adds: "The expiration of the maximum period established in Article 36.2.a) of this Law for the resolution in the first phase of concentration control will determine the estimation of the corresponding request by administrative silence, except in the cases provided for in Articles 9.5, 55.5, and 57.2.d) of this Law." According to the above, the deadline to agree to initiate the second phase of the procedure is June 23, 2008, inclusive. After this date, the notified operation will be considered tacitly authorized. I. NATURE OF THE OPERATION The concentration operation consists of the acquisition by HONEYWELL of exclusive control of METROLOGIC. The aforementioned acquisition has been formalized through a contract, signed on April 25, 2008. Through this contract, Honeywell Montana Merger Corporation (a 100% subsidiary of HONEYWELL) merges with METROLOGIC, so that the former will cease to exist as an independent legal entity, and the latter will become a 100% subsidiary of HONEYWELL. The previous operation is an economic concentration in accordance with the provisions of Article 7.1.b) of the LDC. The execution of the operation is conditioned upon approval by the competition authority of Spain, and it has also been notified to the competition authorities of the United States, Italy, Germany, China, Brazil, and Austria.</w:t>
      </w:r>
    </w:p>
    <w:p>
      <w:r>
        <w:t>II. APPLICABILITY OF LAW 15/2007 ON THE DEFENSE OF COMPETITION According to the notifying party, the operation does not fall within the scope of Regulation (EC) No. 139/2004 of the Council, of January 20, on the control of concentrations between companies, as it does not reach the thresholds described in its Article 1. However, the notified operation meets the requirements set forth by the LDC for its notification, as it exceeds the threshold established in Article 8.1.a) of the same. III. PARTICIPATING COMPANIES III.1 “HONEYWELL INTERNATIONAL INC.” (HONEYWELL) HONEYWELL is an advanced technology company operating worldwide through four divisions: (i) Aerospace, (ii) Automation and Control Solutions (ACS), (iii) Transportation Systems, and (iv) Specialty Materials. Each of these divisions manufactures and markets different classes of products. The products included in the relevant markets affected by the present operation are manufactured and marketed by HONEYWELL's Automation and Control Solutions division and are distributed in Spain by its subsidiary Honeywell Imaging and Mobility. HONEYWELL's shares are listed on the New York Stock Exchange, and according to the notifying party, no person or entity controls HONEYWELL, directly or indirectly. As of December 31, 2007, the only shareholders with a stake of 5% or more in its share capital were State Street Bank and Trust Company, FMR LLC, and Barclays Global Investors. In turn, HONEYWELL controls a large number of companies, all of which are active in advanced technology sectors, but none of them are present in the relevant markets. The turnover of HONEYWELL according to Article 5 of the Competition Defense Regulation, as reported by the notifying party, is as follows: Turnover 2007 (millions of €) HONEYWELL Worldwide [&gt;2,500]1 EU [&gt;250] Spain [&gt;60] Source: Notification III.2 “METROLOGIC INSTRUMENTS INC.” (METROLOGIC) METROLOGIC is a company that operates globally in the development of reliable data collection and capture solutions. METROLOGIC manufactures and sells high-performance linear and omnidirectional laser scanners, fixed-position scanners, and countertop integrated scanners in over 110 countries. 1 Information declared confidential at the request of the notifying party.</w:t>
      </w:r>
    </w:p>
    <w:p>
      <w:r>
        <w:rPr>
          <w:b/>
        </w:rPr>
        <w:t>[Pages 4–6]</w:t>
      </w:r>
    </w:p>
    <w:p>
      <w:r>
        <w:t>of image area and rugged handheld terminals providing various applications for commerce, industries as well as for the healthcare, logistics, and distribution sectors. METROLOGIC is controlled [...]. The turnover of METROLOGIC according to Article 5 of the Competition Defense Regulation, as reported by the notifying party, is as follows: Turnover 2007 (millions of €) METROLOGIC Worldwide [&lt;2,500] EU [&lt;250] Spain [&lt;60] Source: Notification IV. RELEVANT MARKETS IV.1. Product Markets The main area in which the present operation is framed is the sector of portable devices and image capture where three activities would be affected, in which both parties of the operation coincide: 1. Manufacture and commercialization of handheld terminals and PDAs M&amp;W (mobile and wireless) of high durability: The notifying party does not consider it a relevant market for the purposes of the present operation, as the market share of the resulting entity is very small. In the Spanish market for the year 2007, the shares of the parties are: Metrologic [0-10%] and Honeywell [0-10%] and in the worldwide market: Metrologic [0-10%] and Honeywell [0-10%]. Therefore, for the purposes of the present operation, it will not be necessary to delineate and analyze this product market. 2. Manufacture and commercialization of barcode readers and verifiers: According to the notifying party, there are no national and community precedents defining the product market related to barcode readers. Barcode readers can be differentiated based on the type of reading engine they incorporate: engines based on laser technology (for reading linear or one-dimensional barcodes) and engines based on image technology (for reading two-dimensional barcodes). Additionally, they can be installed in a machine (fixed readers) or connected to a machine via a cable or wireless connection (handheld readers). The notifying party argues that the market should not be subdivided according to the type of technology but does consider that the market for handheld readers and fixed readers are two differentiated markets. Furthermore, according to the notifying party, the technology of barcode readers has an imperfect substitute in automatic identification and data capture (AIDC) devices, which would include radio frequency identification (RFID) technology. However, the parties only coincide in the activity of manufacturing barcode readers. Therefore, for the purposes of the present operation, only one product market encompassing barcode readers will be considered. Currently, 90% of barcodes are linear (which initially require laser technology for reading), however, approximately half of the barcode readers sold use image technology, indicating that the vast majority of image readers are used for linear barcodes, in direct competition with laser technology. Another indication of the substitutability of the different technologies is the fact that HONEYWELL has exclusively used image technology since 2001, a change that occurred very quickly, in less than a year. For these reasons, for the purposes of this operation, barcode readers will not be differentiated according to the type of technology they use. Regarding the possibility of differentiating between handheld and fixed readers, the notifying party relies on the fact that HONEYWELL is only present in the handheld reader segment. However, there is substitutability on both the demand and supply sides, with supply-side substitutability being likely to the extent that suppliers can easily switch from offering fixed or handheld reading solutions for multiple applications. For this reason, for the purposes of this operation, the product market of barcode readers will be considered, which includes both fixed and handheld readers. In any case, to the extent that the conclusions of the analysis are not affected by this issue, since the supply structures are similar, for the purposes of the present operation, it is not necessary to finalize the definition of this market. 3. Reading engines for original equipment manufacturers “OEM”: Reading engines, based on laser or image technology, are an input for barcode readers. The notifying party raises the possibility of including them within the barcode reader market. However, it is important to note that while some manufacturers produce the reading engines themselves (which are subsequently incorporated into the readers), others acquire them from external suppliers. Both HONEYWELL and METROLOGIC are actively engaged in the manufacture and sale of them. Therefore, for the purposes of the present operation, a differentiated relevant market of reading engines will be considered, which is vertically related to the barcode reader market. In light of the above, the relevant product markets for the purposes of the analysis of the notified operation will be the market for barcode readers and verifiers and the market for reading engines for original equipment manufacturers, although for the purposes of the present operation, it is not necessary to finalize the exact delimitation of these markets, as with any of the segmentations considered, the conclusions of the analysis are not altered. IV.2 Geographic Markets The notifying party asserts that the relevant geographic scope of the markets for barcode readers and reading engines should be worldwide. To support this, it argues that the same products are offered globally with very little price difference. Additionally, the products can be shipped to customers worldwide regardless of the location of the manufacturing plant. The notifying party highlights that in the European Commission's decision in Motorota/Symbol, regarding the handheld terminal market, it was stated that the market scope was at least the EEA or even worldwide. However, to the extent that it does not affect the conclusions of the analysis (since the supply structure in the world is similar to that of the EEA), it is not necessary to determine if the relevant geographic scope includes the EEA or is broader, so the effects of the operation will be considered in Spain and the EEA. V. MARKET ANALYSIS V.1 Supply Structure According to the notifying party, the barcode reader sector is experiencing significant growth in recent years, also registering a high level of development regarding the mode and place of use of reading capacity and with frequent development of new applications. V.1.a) Barcode Readers The supply structure in the EEA of barcode readers in the last three financial years is, according to the notifying party, as follows: BARCODE READERS (HANDHELD + FIXED) IN THE EEA (Shares and market value) Company 2005 2006 2007 Datalogic [20-30%] [20-30%] [20-30%] Honeywell [0-10%] [0-10%] [0-10%] Metrologic [10-20%] [10-20%] [10-20%] Honeywell + Metrologic [10-20%] [10-20%] [10-20%] Motorola (Symbol) [10-20%] [10-20%] [10-20%] NCR [0-10%] [0-10%] [0-10%] SICK [0-10%] [0-10%] [0-10%] Microscan [0-10%] [0-10%] [0-10%] Others - - [20-30%] Market total in € […] […] […] Source: Notification. The manufacturing of Honeywell products is carried out at its headquarters in New York (except for certain components, which are sourced from third-party subcontractors). Metrologic used to manufacture its products in the United States but has recently moved its manufacturing plant to China. Case No. COMP/M.4415 Motorola/Symbol. The notifying party estimates that none of the remaining companies has individually a market share exceeding [0-10%].</w:t>
      </w:r>
    </w:p>
    <w:p>
      <w:r>
        <w:rPr>
          <w:b/>
        </w:rPr>
        <w:t>[Pages 7–9]</w:t>
      </w:r>
    </w:p>
    <w:p>
      <w:r>
        <w:t>As a result of the operation, HONEYWELL, which had a [0-10%] market share in the EEA, would increase its share to [10-20%], positioning itself as the second operator, behind Datalogic and ahead of Motorola. In Spain, the resulting entity would have a share of [40-50]%. However, the structure of the supply is hardly affected, as Honeywell contributes [0-10%].</w:t>
      </w:r>
    </w:p>
    <w:p>
      <w:r>
        <w:t>V.1.b) Reading Engines</w:t>
      </w:r>
    </w:p>
    <w:p>
      <w:r>
        <w:t>The supply structure in the EEA for reading engines over the last three years is, according to the notifying party, as follows:</w:t>
      </w:r>
    </w:p>
    <w:p>
      <w:r>
        <w:t>READING ENGINES IN THE EEA (Shares and market value)</w:t>
        <w:br/>
        <w:t>Company 2005 2006 2007</w:t>
        <w:br/>
        <w:t>Motorola (Symbol) [30-40%] [30-40%] [30-40%]</w:t>
        <w:br/>
        <w:t>Honeywell [0-10%] [0-10%] [0-10%]</w:t>
        <w:br/>
        <w:t>Metrologic [0-10%] [0-10%] [0-10%]</w:t>
        <w:br/>
        <w:t>Honeywell+Metrologic [10-20%] [10-20%] [10-20%]</w:t>
        <w:br/>
        <w:t>Datalogic [0-10%] [0-10%] [0-10%]</w:t>
        <w:br/>
        <w:t>Intermec [0-10%] [0-10%] [0-10%]</w:t>
        <w:br/>
        <w:t>Others - - [20-30%]</w:t>
        <w:br/>
        <w:t>Total market in € […] […] […]</w:t>
        <w:br/>
        <w:t>Source: Notification</w:t>
      </w:r>
    </w:p>
    <w:p>
      <w:r>
        <w:t>As a result of the operation, HONEYWELL would move from a [0-10%] market share in the EEA to a [10-20%] share, exerting greater competitive pressure on the leader, Motorola. The rest of the market is highly fragmented, with many operators having less than [0-10%] of the market. In Spain, the parties would have a resulting share of [10-20%]. However, the structure of the supply is hardly affected, as Honeywell contributes [0-10%].</w:t>
      </w:r>
    </w:p>
    <w:p>
      <w:r>
        <w:t>V.2 Demand Structure, Distribution, and Pricing</w:t>
      </w:r>
    </w:p>
    <w:p>
      <w:r>
        <w:t>Customers of barcode readers belong to different sectors of the economy. They were first adopted in some industrial applications but quickly spread to the retail sector, where large supermarket chains constitute a significant source of demand. The transport/logistics sector and general manufacturing and administration are other important demand groups. Another growing area is the healthcare sector; ultimately, any sector that requires increasing automation can be a customer.</w:t>
      </w:r>
    </w:p>
    <w:p>
      <w:r>
        <w:t>On the other hand, customers of reading engines are other competitors in the barcode reader market. However, some of them (such as Datalogic) also have production capacity for reading engines.</w:t>
      </w:r>
    </w:p>
    <w:p>
      <w:r>
        <w:t>In the barcode reader sector (including reading engines), two main distribution channels are used: direct sales from the manufacturer, which according to the notifying party account for 30% worldwide; and indirect sales through a distributor or value-added reseller. According to the notifying party, two major distributors operate worldwide, Scansource and Blue Star, but there are also a number of local distributors engaged in the distribution of barcode reading products.</w:t>
      </w:r>
    </w:p>
    <w:p>
      <w:r>
        <w:t>In Spain, METROLOGIC has achieved its position mainly due to its acquisition in the late 90s of a Spanish distributor, Eria, but it also has a number of other distributors such as […] among others.</w:t>
      </w:r>
    </w:p>
    <w:p>
      <w:r>
        <w:t>Furthermore, the notifying party points out that large customers often call for tenders to acquire various products.</w:t>
      </w:r>
    </w:p>
    <w:p>
      <w:r>
        <w:t>According to the notifying party, price levels depend primarily on the set of functions requested by the customer, as well as the business volumes involved in the transaction and other service and warranty requirements.</w:t>
      </w:r>
    </w:p>
    <w:p>
      <w:r>
        <w:t>According to the notifying party, the estimated average factory selling price of a handheld reader in Europe was around […] in 2007 and that of a reading engine was about […]. The notifying party considers that its prices are in line with the industry average.</w:t>
      </w:r>
    </w:p>
    <w:p>
      <w:r>
        <w:t>V.3 Potential Competition - Barriers to Entry</w:t>
      </w:r>
    </w:p>
    <w:p>
      <w:r>
        <w:t>According to the notifying party, there are no significant barriers to entry since transportation does not constitute a significant part of the price, there are no import duties or taxes applicable to this type of product, administrative authorizations are not needed for marketing, nor is it necessary to create proprietary distribution channels since a substantial part of sales is made through third-party distributors.</w:t>
      </w:r>
    </w:p>
    <w:p>
      <w:r>
        <w:t>Moreover, according to the notifying party, there are no barriers to entry related to access to the technology necessary for manufacturing barcode readers, as obtaining it is relatively easy for new entrants. While it is true that current market players hold intellectual property rights related to the use of certain technologies in the products offered in the market, as well as reciprocal licenses resulting mostly from lawsuits filed by the agents themselves in the U.S.</w:t>
      </w:r>
    </w:p>
    <w:p>
      <w:r>
        <w:t>According to the notifying party, the ease of obtaining technology is evident, for example, with the entry of new Chinese suppliers into the market, without having signed any reciprocal licensing agreements. Furthermore, none of the disputes regarding industrial property rights have prevented any operator from entering or continuing to operate; on the contrary, reciprocal infringement actions are generally raised, which ultimately lead to settlement agreements.</w:t>
      </w:r>
    </w:p>
    <w:p>
      <w:r>
        <w:t>The notifying party considers that the proposed operation will not change the characteristics of the market regarding industrial property rights; the combination of HONEYWELL's and METROLOGIC's rights will not create a "patent access barrier" in favor of the resulting entity.</w:t>
      </w:r>
    </w:p>
    <w:p>
      <w:r>
        <w:t>VI. ASSESSMENT OF THE OPERATION</w:t>
      </w:r>
    </w:p>
    <w:p>
      <w:r>
        <w:t>The notified concentration operation consists of the acquisition by HONEYWELL of exclusive control over METROLOGIC.</w:t>
      </w:r>
    </w:p>
    <w:p>
      <w:r>
        <w:t>The operation takes place in the market for the manufacture and commercialization of barcode readers and reading engines.</w:t>
      </w:r>
    </w:p>
    <w:p>
      <w:r>
        <w:t>After the operation, the resulting entity will have a [10-20%] share in the EEA barcode reader market, with an addition of [10-20] points, and a [10-20%] share in the vertically related market of reading engines (with an addition of [0-10] points). Thus, after the operation, the resulting entity consolidates itself as the second operator in both markets, behind Motorola (in reading engines) and Datalogic (in barcode readers). In Spain, the resulting entity's shares are [40-50%] in barcode readers and [10-20%] in reading engines. However, given that HONEYWELL's presence is limited (at [0-10%] in both markets), the structure of the supply in Spain is not significantly altered after the operation.</w:t>
      </w:r>
    </w:p>
    <w:p>
      <w:r>
        <w:t>However, it is worth noting that both Motorola and Datalogic are vertically integrated (although Datalogic has a limited presence in the reading engine market), and could potentially counteract the unilateral actions of the resulting entity that could harm effective competition. Additionally, there are several alternative operators in both markets.</w:t>
      </w:r>
    </w:p>
    <w:p>
      <w:r>
        <w:t>On the other hand, it does not appear that the distribution networks or industrial property rights give rise to barriers to entry that are significant enough to prevent or significantly hinder the entry or expansion of third-party competitors.</w:t>
      </w:r>
    </w:p>
    <w:p>
      <w:r>
        <w:t>Likewise, it is not expected that the operation will significantly facilitate conditions for coordinated effects to arise in the various markets that could harm effective competition therein.</w:t>
      </w:r>
    </w:p>
    <w:p>
      <w:r>
        <w:rPr>
          <w:b/>
        </w:rPr>
        <w:t>[Pages 10–10]</w:t>
      </w:r>
    </w:p>
    <w:p>
      <w:r>
        <w:t>in particular, given the asymmetry of the different operators and the relatively high number of them, it does not appear that the conditions for an alignment of their interests exist. In light of all the above, it is not foreseeable that the notified operation will have significant effects on effective competition in the markets considered. VII. PROPOSAL In consideration of all the above and by virtue of Article 57.1 of Law 15/2007, of July 3, on the Defense of Competition, it is proposed to authorize the concentration, in application of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