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https://www.cnmc.es/expedientes/c007508</w:t>
      </w:r>
    </w:p>
    <w:p>
      <w:r>
        <w:t>Pages translated : 14</w:t>
      </w:r>
    </w:p>
    <w:p/>
    <w:p>
      <w:r>
        <w:rPr>
          <w:b/>
        </w:rPr>
        <w:t>[Pages 1–3]</w:t>
      </w:r>
    </w:p>
    <w:p>
      <w:r>
        <w:t>NATIONAL COMMISSION</w:t>
        <w:br/>
        <w:t>FOR COMPETITION</w:t>
        <w:br/>
        <w:t>RESOLUTION (File C-0075/08, CENTRALE PARTNERS/MICROCAR)</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July 24, 2008.</w:t>
        <w:br/>
        <w:t>Having reviewed the file processed in accordance with Law 15/2007, of July 3, on Defense of Competition, regarding the acquisition by the company 21 Centrale Partners S.A. of exclusive control over MICROCAR S.A.S. (File C/0075/08)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a period of two months from its notification.</w:t>
      </w:r>
    </w:p>
    <w:p>
      <w:r>
        <w:t>NATIONAL COMMISSION</w:t>
        <w:br/>
        <w:t>FOR COMPETITION</w:t>
        <w:br/>
        <w:t>DIRECTORATE OF INVESTIGATION</w:t>
        <w:br/>
        <w:t>REPORT AND PROPOSAL FOR RESOLUTION</w:t>
        <w:br/>
        <w:t>FILE C/0075/08 21 CP/MICROCAR</w:t>
        <w:br/>
        <w:t>On May 30, 2008, the notification regarding the acquisition by the company 21 Centrale Partners, S.A. (hereinafter 21 CP) of exclusive control over MICROCAR, S.A.S. (hereinafter MICROCAR) was received by this Directorate of Investigation.</w:t>
      </w:r>
    </w:p>
    <w:p>
      <w:r>
        <w:t>This notification was made by 21 CP as established in Article 9 of Law 15/2007, of July 3, on Defense of Competition, for exceeding the threshold established in Article 8.1.a). This operation is subject to the provisions of Royal Decree 261/2008, of February 22, which approves the Regulation on Defense of Competition.</w:t>
      </w:r>
    </w:p>
    <w:p>
      <w:r>
        <w:t>Article 57.2.c) of Law 15/2007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r>
    </w:p>
    <w:p>
      <w:r>
        <w:t>In accordance with the provisions of Article 9.6 of Law 15/2007, the notifying party requests that the suspension of the execution of the concentration be lifted.</w:t>
      </w:r>
    </w:p>
    <w:p>
      <w:r>
        <w:t>On June 3, this Directorate of Investigation sent the notifying party requests for rectification and necessary information to resolve the file in accordance with Articles 55.4 and 55.5 of Law 15/2007. The requests were fulfilled on June 11, 2008.</w:t>
      </w:r>
    </w:p>
    <w:p>
      <w:r>
        <w:t>On June 16, 2008, this Directorate of Investigation requested various manufacturers and distributors of quadricycles for information necessary to resolve the reference file, in application of the provisions of Article 39.1 of Law 15/2007. The last response to the previous requests was received on July 14, 2008.</w:t>
      </w:r>
    </w:p>
    <w:p>
      <w:r>
        <w:t>In light of the above, the deadline to decide to initiate the second phase of the procedure is August 6, 2008, inclusive. After this date, the notified operation will be considered tacitly authorized.</w:t>
      </w:r>
    </w:p>
    <w:p>
      <w:r>
        <w:t>I. NATURE OF THE OPERATION</w:t>
        <w:br/>
        <w:t>The concentration operation consists of the acquisition by 21 CP of exclusive control over MICROCAR. In particular, the operation complies with the provisions of Article 7.1.b) of the Competition Defense Law.</w:t>
      </w:r>
    </w:p>
    <w:p>
      <w:r>
        <w:t>2. INVESTIGATION OF MERGER</w:t>
      </w:r>
    </w:p>
    <w:p>
      <w:r>
        <w:t>The aforementioned acquisition has been formalized through a purchase agreement, signed on May 23, 2008, by which 21 CP acquires the entire share capital of MICROCAR. The transaction has been notified in Italy, where it has been authorized without conditions (June 23), and in Austria, whose competition authorities have decided to initiate a second phase of investigation (June 27), having a period of 5 months to issue a decision.</w:t>
      </w:r>
    </w:p>
    <w:p>
      <w:r>
        <w:t>It should be noted that prior to the present transaction, 21 CP acquired, through a purchase agreement signed on May 16, 2008, the company Automobiles LIGIER, S.A.S. (hereinafter LIGIER), which operates in the same relevant market as MICROCAR, that of motor quadricycles. The acquisition of LIGIER by 21 CP was also notified in Italy and Austria, having been authorized on May 15 and May 29, 2008, respectively.</w:t>
      </w:r>
    </w:p>
    <w:p>
      <w:r>
        <w:t>The acquisition of the shares of LIGIER by 21 CP has not yet been executed, despite having received all the relevant competition authorizations. However, insofar as the purchase agreement is not subject to suspensive conditions that 21 CP cannot unilaterally lift, it is estimated that 21 CP already has the ability to exert decisive influence over LIGIER and, therefore, already has exclusive control of LIGIER. For this reason, in the analysis of the present operation, the market shares of LIGIER will be attributed to 21 CP.</w:t>
      </w:r>
    </w:p>
    <w:p>
      <w:r>
        <w:t>II. APPLICABILITY OF LAW 15/2007 ON DEFENSE OF COMPETITION</w:t>
        <w:br/>
        <w:t>According to the notifying party, the operation does not fall within the scope of Regulation (EC) No. 139/2004 of the Council, of January 20, on the control of concentrations between companies, as it does not exceed the thresholds set out in Article 1.</w:t>
      </w:r>
    </w:p>
    <w:p>
      <w:r>
        <w:t>However, the notified operation meets the requirements established by Law 15/2007 for its notification, as it exceeds the threshold established in Article 8.1.a) of the same.</w:t>
      </w:r>
    </w:p>
    <w:p>
      <w:r>
        <w:t>III. PARTICIPATING COMPANIES</w:t>
        <w:br/>
        <w:t>III.1. “21 CENTRALE PARTNERS, S.A.” (21 CP)</w:t>
        <w:br/>
        <w:t>21 CP is a company that invests in medium-sized companies with a value ranging between 50 and 250 million euros.</w:t>
      </w:r>
    </w:p>
    <w:p>
      <w:r>
        <w:t>21 CP is controlled by Ragione S.p.A. (hereinafter Ragione), a holding company of the Benetton Group, which is in turn controlled by the Benetton family. Ragione is present in multiple sectors, although according to the notifying party, none has a horizontal or vertical relationship with the activity of the company.</w:t>
      </w:r>
    </w:p>
    <w:p>
      <w:r>
        <w:rPr>
          <w:b/>
        </w:rPr>
        <w:t>[Pages 4–6]</w:t>
      </w:r>
    </w:p>
    <w:p>
      <w:r>
        <w:t>3. INVESTIGATION OF THE DECISION</w:t>
      </w:r>
    </w:p>
    <w:p>
      <w:r>
        <w:t>acquired1, with the exception of LIGIER, also present in the quadricycle sector. LIGIER has a manufacturing plant for quadricycles (i.e., vehicles for which only a moped license is required) in France and conducts its activities in Spain through its subsidiary Automobiles Ligier España, S.L.U, (100% owned by the parent company), which aims to sell LIGIER products in Spain and provide after-sales services to distributors and consumers. This subsidiary has various distribution agreements with retail distributors in Spain.</w:t>
      </w:r>
    </w:p>
    <w:p>
      <w:r>
        <w:t>The turnover of Ragione in 2007,2 according to Article 5 of the Competition Defense Regulation, as reported by the notifying party, amounted to:</w:t>
        <w:br/>
        <w:t>Turnover of Ragione 2007</w:t>
        <w:br/>
        <w:t>(millions of Euros)</w:t>
        <w:br/>
        <w:t>Worldwide [&gt;2,500]3</w:t>
        <w:br/>
        <w:t>European Union [&gt;250]</w:t>
        <w:br/>
        <w:t>Spain [&gt;60]</w:t>
        <w:br/>
        <w:t>Source: Notification</w:t>
      </w:r>
    </w:p>
    <w:p>
      <w:r>
        <w:t>III.2. “MICROCAR, S.A.S.” (MICROCAR)</w:t>
      </w:r>
    </w:p>
    <w:p>
      <w:r>
        <w:t>MICROCAR is a company, owned by the Bénéteau Group, that manufactures and distributes motor quadricycles. The turnover of MICROCAR in 2007, according to Article 5 of the Competition Defense Regulation, as reported by the notifying party, amounted to:</w:t>
        <w:br/>
        <w:t>Turnover of MICROCAR 2007</w:t>
        <w:br/>
        <w:t>(millions of Euros)</w:t>
        <w:br/>
        <w:t>Worldwide [&lt;2,500]</w:t>
        <w:br/>
        <w:t>European Union [&lt;250]</w:t>
        <w:br/>
        <w:t>Spain [&lt;60]</w:t>
        <w:br/>
        <w:t>Source: Notification</w:t>
      </w:r>
    </w:p>
    <w:p>
      <w:r>
        <w:t>IV. RELEVANT MARKETS</w:t>
      </w:r>
    </w:p>
    <w:p>
      <w:r>
        <w:t>IV.1. Product Market</w:t>
      </w:r>
    </w:p>
    <w:p>
      <w:r>
        <w:t>The sector in which the operation is framed concerns motor quadricycles (commonly known as microcars), that is, motor vehicles with four wheels that meet the characteristics detailed, mainly, in Directive 2002/24/EC (Article 1.3).4 These technical characteristics vary according to the two types of quadricycles that exist: light and heavy.</w:t>
      </w:r>
    </w:p>
    <w:p>
      <w:r>
        <w:t>Broadly speaking, on one hand, light quadricycles are characterized by:</w:t>
        <w:br/>
        <w:t>- an unladen mass of less than or equal to 350 kg,</w:t>
        <w:br/>
        <w:t>- a maximum speed by construction of less than or equal to 45 km/h, and</w:t>
        <w:br/>
        <w:t>- a cylinder capacity of the engine of less than or equal to 50 cm3 for spark ignition engines (positive), or a maximum net power of less than or equal to 4 kW for other internal combustion engines.5</w:t>
      </w:r>
    </w:p>
    <w:p>
      <w:r>
        <w:t>Due to the described characteristics, light quadricycles are used for short trips and only require a moped license, with all the associated circulation limitations of this license compared to the type B license necessary to drive normal cars.</w:t>
      </w:r>
    </w:p>
    <w:p>
      <w:r>
        <w:t>On the other hand, heavy quadricycles have the following characteristics:</w:t>
        <w:br/>
        <w:t>- an unladen mass of less than or equal to 400 kg (550 kg for vehicles intended for the transport of goods), and</w:t>
        <w:br/>
        <w:t>- an engine whose maximum power is less than or equal to 15 kW.</w:t>
      </w:r>
    </w:p>
    <w:p>
      <w:r>
        <w:t>As a result of these characteristics, drivers of heavy quadricycles must obtain at least the A1 or B6 driving license, depending on the cylinder capacity, as established by the General Drivers Regulation7. Heavy quadricycles represent a very small part of the total quadricycle market according to the notifying party (around [0-10]%). Additionally, MICROCAR does not currently sell heavy quadricycles in Spain, and LIGIER only completed […] sales in 2007, so the main market is that of light quadricycles.</w:t>
      </w:r>
    </w:p>
    <w:p>
      <w:r>
        <w:t>Therefore, although considerations could be made regarding the possible substitutability of both types of quadricycles from the supply side (they share production lines and know-how), for the purposes of this case, it is not necessary</w:t>
      </w:r>
    </w:p>
    <w:p>
      <w:r>
        <w:t>4 Directive 2002/24/EC, of 18.3.02, of the European Parliament and of the Council, on the type approval of two- and three-wheeled motor vehicles.</w:t>
        <w:br/>
        <w:t>5 In the case of electric motors, their maximum continuous nominal power must be less than or equal to 4 kW.</w:t>
        <w:br/>
        <w:t>6 Specifically, heavy quadricycles with engines between 50 cm3 and 125 cm3 require the A1 driving license, while to drive vehicles with engines above 125 cm3, a class B license is required.</w:t>
        <w:br/>
        <w:t>7 Royal Decree 772/1997, 30.4.97, approving the General Drivers Regulation, amended by Royal Decree 2824/1998, of 23.12.98; Royal Decree 1110/1999, of 25.6.99; Royal Decree 1907/1999; Royal Decree 1598/2004, of 2.7.04; Royal Decree 62/2006, of 27.1.06; and Royal Decree 64/2008, of 25.1.08.</w:t>
      </w:r>
    </w:p>
    <w:p>
      <w:r>
        <w:t>5. INVESTIGATION OF THE DECISION</w:t>
      </w:r>
    </w:p>
    <w:p>
      <w:r>
        <w:t>to pronounce on its inclusion in a single product market, so the analysis will be limited to the market of light quadricycles, although without closing the door to other possible delimitations in the future.</w:t>
      </w:r>
    </w:p>
    <w:p>
      <w:r>
        <w:t>On the other hand, it should be noted that motor quadricycles constitute a separate product market from passenger cars and mopeds, both due to the technical characteristics and driving license requirements already mentioned, as well as their differentiated demand.</w:t>
      </w:r>
    </w:p>
    <w:p>
      <w:r>
        <w:t>As will be detailed in point V.2, the demand for quadricycles is largely made up of people who do not have a type B license and who, for safety reasons, prefer to drive a quadricycle over a moped.</w:t>
      </w:r>
    </w:p>
    <w:p>
      <w:r>
        <w:t>This conclusion has been supported by all manufacturers and retail distributors consulted following the market test conducted regarding the operation. When it comes to more precisely defining the product market, it may be useful to follow precedents in the passenger car sector, where the European Commission8 and Spanish competition authorities9 have distinguished the following relevant product markets:</w:t>
        <w:br/>
        <w:t>(i) manufacturing and supply of passenger cars,</w:t>
        <w:br/>
        <w:t>(ii) wholesale distribution of passenger cars,</w:t>
        <w:br/>
        <w:t>(iii) retail sale of passenger cars.</w:t>
      </w:r>
    </w:p>
    <w:p>
      <w:r>
        <w:t>The notifying party is not aware of community precedents in the field of production and distribution of quadricycles. However, there are two related reports from the Competition Defense Service10, in which, however, the exact definition of the relevant markets was not closed.</w:t>
      </w:r>
    </w:p>
    <w:p>
      <w:r>
        <w:t>In the case of quadricycles, it may even be possible to integrate the first two markets into one11, given that the usual practice in the sector is for the wholesale distributor to be a subsidiary of the manufacturer (as is the case with Aixam, LIGIER, Piaggio) and small producers like Bellier, Grecav, and Chatenet choose to sell directly from the manufacturer outside of Spain to Spanish retail distributors.</w:t>
      </w:r>
    </w:p>
    <w:p>
      <w:r>
        <w:t>MICROCAR and JDM are the main exceptions that use independent wholesale distributors. However, it is expected that the integration of</w:t>
      </w:r>
    </w:p>
    <w:p>
      <w:r>
        <w:t>8 The most recent decisions of the European Commission have been considered, namely: of 08.04.2008 in case COMP/M.5061 Renault / Russian Technologies / AVOTVAZ; of 30.04.2004 in case COMP/M.3388 Ford Motor Company Ltd. / Polar Motor Group Ltd.; of 22.07.2002 in case COMP/M.2832 General Motors / Daewoo Motors; and of 28.02.2000 in case COMP/M. 1847 GM / SAAB.</w:t>
        <w:br/>
        <w:t>9 Report from the Competition Defense Service in case N-03067 KIA Motors Iberia / KIA Motors España.</w:t>
        <w:br/>
        <w:t>10 N-238, FMC / Grupo Aixam and N-06002, AXA IMPEE / Aixam-Mega.</w:t>
        <w:br/>
        <w:t>11 This analysis of the relevant product markets has been supported by the vast majority of responses from producers and distributors to the market test.</w:t>
      </w:r>
    </w:p>
    <w:p>
      <w:r>
        <w:rPr>
          <w:b/>
        </w:rPr>
        <w:t>[Pages 7–9]</w:t>
      </w:r>
    </w:p>
    <w:p>
      <w:r>
        <w:t>6. INVESTIGATION OF THE DECISION</w:t>
      </w:r>
    </w:p>
    <w:p>
      <w:r>
        <w:t>MICROCAR with LIGIER leads to the latter employing LIGIER's subsidiary as the exclusive wholesale distributor. Furthermore, it is possible to differentiate between the manufacturing and wholesale sale and the retail sale of quadricycles, to the extent that retail sales of quadricycles in Spain are carried out through independent distribution networks.</w:t>
      </w:r>
    </w:p>
    <w:p>
      <w:r>
        <w:t>Finally, it is worth considering whether used quadricycles are part of the same product market as new ones. It can be asserted that the substitutability between the two is low, given that for them to be substitutable, a quadricycle must be in good condition and have a current design, as this is a highly valued attribute by consumers. Moreover, the impact of the introduction in 2008 of the registration tax for the purchase of a new quadricycle seems to confirm this analysis, as it has not resulted in a noticeable increase in the sales of used quadricycles to the detriment of new ones, according to information provided by retail distributors in the market test. However, within the framework of the current operation, it is not necessary to establish a definitive conclusion on this point, as the impact of the concentration does not vary substantially regardless of the analysis conducted.</w:t>
      </w:r>
    </w:p>
    <w:p>
      <w:r>
        <w:t>In summary, in light of all the above, the product market analyzed in the present operation will be that of the manufacturing and wholesale distribution of new light quadricycles, with the vertically related market of their retail distribution being indirectly affected.</w:t>
      </w:r>
    </w:p>
    <w:p>
      <w:r>
        <w:t>IV.2. Geographic Market</w:t>
      </w:r>
    </w:p>
    <w:p>
      <w:r>
        <w:t>Regarding the market for the manufacturing and wholesale distribution of quadricycles, it can be estimated that its dimension encompasses the entire European Economic Area (hereinafter EEA), given that the plants of LIGIER and MICROCAR (as well as their main competitor, Aixam) are located in France, from where they export to the rest of the EEA.</w:t>
      </w:r>
    </w:p>
    <w:p>
      <w:r>
        <w:t>It should be noted that there are no precedents in the motor vehicle sector that confirm or deny this dimension. For the purposes of the present operation, the market for manufacturing and wholesale distribution in the EEA and in Spain will be analyzed.</w:t>
      </w:r>
    </w:p>
    <w:p>
      <w:r>
        <w:t>As for the retail distribution of quadricycles, indirectly affected by the concentration operation under analysis, this Directorate of Investigation considers that its dimension could be estimated as national due to the reduced relevance of parallel trade between Member States and the different distribution policies followed in EEA countries.</w:t>
      </w:r>
    </w:p>
    <w:p>
      <w:r>
        <w:t>In any case, given the characteristics of the operation, it is not necessary to finalize the definition of the geographic market in the case of the retail distribution of quadricycles, as the outcome of its analysis is substantially the same regardless of the market definition used.</w:t>
      </w:r>
    </w:p>
    <w:p>
      <w:r>
        <w:t>V. MARKET ANALYSIS</w:t>
      </w:r>
    </w:p>
    <w:p>
      <w:r>
        <w:t>V.1.- Supply Structure</w:t>
      </w:r>
    </w:p>
    <w:p>
      <w:r>
        <w:t>The following tables include estimates of the market shares of the parties and their main competitors in Spain and in the EEA over the last three years, in terms of units. According to the notifying party, the market shares of companies active in the European light quadricycle market are as follows:</w:t>
      </w:r>
    </w:p>
    <w:p>
      <w:r>
        <w:t>Market Share</w:t>
        <w:br/>
        <w:t>Number of Quadricycles</w:t>
        <w:br/>
        <w:t>Manufacturer (%)</w:t>
        <w:br/>
        <w:t>2005* 2006* 2007 2005 2006 2007</w:t>
        <w:br/>
        <w:t>21CP 0 0 0 0 0 0</w:t>
        <w:br/>
        <w:t>LIGIER […] […] […] [10-20]% [20-30]% [20-30]%</w:t>
        <w:br/>
        <w:t>MICROCAR […] […] […] [20-30]% [20-30]% [10-20]%</w:t>
        <w:br/>
        <w:t>New entity […] […] […] [40-50]% [40-50]% [40-50]%</w:t>
        <w:br/>
        <w:t>Aixam Mega […] […] […] [40-50]% [40-50]% [40-50]%</w:t>
        <w:br/>
        <w:t>Chatenet […] […] […] [0-10]% [0-10]% [0-10]%</w:t>
        <w:br/>
        <w:t>JDM […] […] […] [0-10]% [0-10]% [0-10]%</w:t>
        <w:br/>
        <w:t>Bellier […]** […]** […] [0-10%]** [0-10%]** [0-10]%</w:t>
        <w:br/>
        <w:t>Piaggio […]** […]** […]** [0-10%]** [0-10%]** [0-10%]**</w:t>
        <w:br/>
        <w:t>Grecav […]** […]** […]** [0-10%]** [0-10%]** [0-10%]**</w:t>
        <w:br/>
        <w:t>Others […]** […]** […]** [0-10%]** [0-10%]** [0-10%]**</w:t>
        <w:br/>
        <w:t>(at least) (at least) (at least)</w:t>
        <w:br/>
        <w:t>Total 100% 100% 100%</w:t>
        <w:br/>
        <w:t>30,852 32,556 33,692</w:t>
        <w:br/>
        <w:t xml:space="preserve">Source: estimates from the notifying party based on sales volumes declared by manufacturers and registrations of quadricycles. </w:t>
        <w:br/>
        <w:t xml:space="preserve">*These figures include the numbers of heavy quadricycles, although these represent less than [0-10]% of the quadricycles sold in Europe. </w:t>
        <w:br/>
        <w:t>**The notifying party is not in a position to estimate these figures more precisely, which is why they have not been taken into account either for the total market estimate or for the calculation of the market shares of the parties. Consequently, the market shares of the parties are slightly overestimated.</w:t>
      </w:r>
    </w:p>
    <w:p>
      <w:r>
        <w:t>According to the notifying party, the market shares of companies active in the Spanish light quadricycle market are as follows:</w:t>
      </w:r>
    </w:p>
    <w:p>
      <w:r>
        <w:t>8. INVESTIGATION OF THE DECISION</w:t>
      </w:r>
    </w:p>
    <w:p>
      <w:r>
        <w:t>Market Share</w:t>
        <w:br/>
        <w:t>Number of Quadricycles</w:t>
        <w:br/>
        <w:t>Manufacturer (%)</w:t>
        <w:br/>
        <w:t>2005 2006 2007 2005 2006 2007</w:t>
        <w:br/>
        <w:t>21CP 0 0 0 0 0 0</w:t>
        <w:br/>
        <w:t>LIGIER […] […] […] [10-20]% [10-20]% [20-30]%</w:t>
        <w:br/>
        <w:t>MICROCAR […] […] […] [20-30]% [20-30]% [20-30]%</w:t>
        <w:br/>
        <w:t>New entity […] […] […] [30-40]% [30-40]% [40-50]%</w:t>
        <w:br/>
        <w:t>Aixam Mega […] […] […] [40-50]% [40-50]% [40-50]%</w:t>
        <w:br/>
        <w:t>Chatenet […] […] […] [10-20]% [0-10]% [0-10]%</w:t>
        <w:br/>
        <w:t>JDM […] […] […] [0-10]% [0-10]% [0-10]%</w:t>
        <w:br/>
        <w:t>Bellier […] […] […] [0-10]% [0-10]% [0-10]%</w:t>
        <w:br/>
        <w:t>Piaggio […] […] […] [0-10]% [0-10]% [0-10]%</w:t>
        <w:br/>
        <w:t>Grecav […] […] […] [0-10]% [0-10]% [0-10]%</w:t>
        <w:br/>
        <w:t>Others […] […] […] [0-10]% [0-10]% [0-10]%</w:t>
        <w:br/>
        <w:t>Total 7,669 8,455 8,497 100% 100% 100%</w:t>
        <w:br/>
        <w:t>Source: Estimates from the notifying party based on volumes declared by manufacturers and the number of registered quadricycles.</w:t>
      </w:r>
    </w:p>
    <w:p>
      <w:r>
        <w:t>As can be inferred from these figures, LIGIER and MICROCAR constitute the second and third operators respectively (with shares both around [20-30]%) in both the European and Spanish markets. The leader in both markets is Aixam, with a market share of approximately [40-50]%.</w:t>
      </w:r>
    </w:p>
    <w:p>
      <w:r>
        <w:t>Therefore, as a result of the concentration operation, a quasi-duopolistic structure would be created in the market for the manufacturing and wholesale distribution of light quadricycles, as the concentration of the second and third manufacturers, LIGIER and MICROCAR, would result in an operator with approximately […] market share, with the main company, Aixam, capturing around [80-90]% of the market between them.</w:t>
      </w:r>
    </w:p>
    <w:p>
      <w:r>
        <w:t>The other manufacturers have much smaller market shares, which in the Spanish case do not individually exceed [0-10]%, with no increase in their shares observed at the expense of the three main manufacturers.</w:t>
      </w:r>
    </w:p>
    <w:p>
      <w:r>
        <w:t>Community regulations have led to a technical homogenization of the product, although manufacturers try to differentiate their design and build a brand equity (compliance with warranties, spare parts service, after-sales advice…).</w:t>
      </w:r>
    </w:p>
    <w:p>
      <w:r>
        <w:rPr>
          <w:b/>
        </w:rPr>
        <w:t>[Pages 10–12]</w:t>
      </w:r>
    </w:p>
    <w:p>
      <w:r>
        <w:t>9. INVESTIGATION OF THE DECISION</w:t>
      </w:r>
    </w:p>
    <w:p>
      <w:r>
        <w:t>V.2.- Demand Structure</w:t>
      </w:r>
    </w:p>
    <w:p>
      <w:r>
        <w:t>According to the information provided by the notifying party and the market test, the demand for quadricycles is predominantly composed of individuals over the age of 45 who do not hold a type B driving license. In fact, the difficulty in obtaining a type B license is the main factor cited for opting for this mode of transportation.</w:t>
      </w:r>
    </w:p>
    <w:p>
      <w:r>
        <w:t>By gender, the men who use them seem to primarily reside in rural areas, while in urban environments, women appear to predominate, using them to commute to work, preferring a safer means than motorcycles.</w:t>
      </w:r>
    </w:p>
    <w:p>
      <w:r>
        <w:t>Minority-wise, it is important to distinguish a group of demand formed by underage individuals, who also choose quadricycles over mopeds for being a safer option.</w:t>
      </w:r>
    </w:p>
    <w:p>
      <w:r>
        <w:t>It is important to emphasize the new European framework regarding driving licenses introduced by Directive 2006/126/EC and its impact on the field of quadricycles. This Directive has been transposed into Spanish law through Royal Decree 64/2008, which will come into effect on September 1, 2008, and modifies the current General Regulation of Drivers.</w:t>
      </w:r>
    </w:p>
    <w:p>
      <w:r>
        <w:t>As the notifying party points out, regarding driving licenses for quadricycles, these do not change in form: it will still be possible to drive a light quadricycle with a moped license, which will be referred to as "moped driving license" (hereinafter LCC), and driving a heavy quadricycle will require, at least, the A1 or B license depending on the case. However, the requirements for obtaining the LCC will be stricter than today, as new drivers will have to:</w:t>
        <w:br/>
        <w:t>a) be at least 15 years old (currently, 14 years is sufficient), and</w:t>
        <w:br/>
        <w:t>b) pass a psychophysical aptitude test, as well as a specific theoretical exam and a practical exam in a closed circuit (although the exam will not be as difficult as that of the type B license for normal cars), whereas currently only a course in a driving school is required.</w:t>
      </w:r>
    </w:p>
    <w:p>
      <w:r>
        <w:t>It should be noted that the sector predicts a significant drop in demand, which several retail distributors in their responses to the market test estimate could be as much as 50%, due to the combination of three factors: the adverse economic situation, the increase in the cost of quadricycles due to the newly introduced registration tax, and the requirement for a theoretical and practical exam starting September 1 of this year to obtain the LCC.</w:t>
      </w:r>
    </w:p>
    <w:p>
      <w:r>
        <w:t>10. INVESTIGATION OF THE DECISION</w:t>
      </w:r>
    </w:p>
    <w:p>
      <w:r>
        <w:t>V.3.- Pricing and Distribution Structure</w:t>
      </w:r>
    </w:p>
    <w:p>
      <w:r>
        <w:t>According to the market test, wholesale prices are governed by lists to which discounts apply. Likewise, manufacturers/wholesalers set recommended retail prices, which are mostly followed by retail distributors.</w:t>
      </w:r>
    </w:p>
    <w:p>
      <w:r>
        <w:t>According to the notifying party and the results of the market test, the average prices to the final buyer of light quadricycles range between 9,000 and 11,000 euros (excluding taxes) and are similar among different brands.</w:t>
      </w:r>
    </w:p>
    <w:p>
      <w:r>
        <w:t>Regarding the wholesale distribution structure, the usual practice in the sector is for the wholesale distributor to be a subsidiary of the manufacturer (as is the case with Aixam, LIGIER, Piaggio), with MICROCAR and JDM being the main exceptions that use independent wholesale distributors. Small producers such as Bellier, Grecav, and Chatenet choose to sell directly from the manufacturer outside of Spain to Spanish retail distributors.</w:t>
      </w:r>
    </w:p>
    <w:p>
      <w:r>
        <w:t>Given this structure, it is reasonable to expect that the integration of MICROCAR with LIGIER will lead to the former using LIGIER's subsidiary as a wholesale distributor in Spain.</w:t>
      </w:r>
    </w:p>
    <w:p>
      <w:r>
        <w:t>As for retail distribution, the following types of distributors can be distinguished:</w:t>
        <w:br/>
        <w:t>- multiproduct distributors versus single product distributors, with the former selling, in addition to quadricycles, other products such as agricultural equipment, motorcycles, bicycles, quads, etc. According to the market test, most sales occur through multiproduct distributors, although the gap with single product distributors is not large.</w:t>
        <w:br/>
        <w:t>- single brand distributors or multi-brand distributors, depending on whether they specialize in selling a single brand or not.</w:t>
      </w:r>
    </w:p>
    <w:p>
      <w:r>
        <w:t>According to the notifying party, Aixam, the leader in the sector, emphasizes the development of a network of single brand distributors, having 83 distributors in Spain, of which […]% are multiproduct and […]% are single brand.</w:t>
      </w:r>
    </w:p>
    <w:p>
      <w:r>
        <w:t>For its part, LIGIER has 71 distributors in Spain, of which approximately […]% are single product and […]% are multiproduct. Of the total of both types of distributors, […]% are LIGIER single brand and […]% sell different brands. Regarding the total sales of LIGIER in Spain in 2007, according to the notifying party, […]% of them were made in multi-brand establishments.</w:t>
      </w:r>
    </w:p>
    <w:p>
      <w:r>
        <w:t>MICROCAR has 117 distributors in Spain. Of this total, multiproduct (and multi-brand) distributors represent […]%. Regarding the total sales of MICROCAR in Spain in 2007, according to the notifying party, […]% of them were made in multi-brand establishments.</w:t>
      </w:r>
    </w:p>
    <w:p>
      <w:r>
        <w:t>Distributor Type (% of total sales in Spain, 2007)</w:t>
        <w:br/>
        <w:t>LIGIER MICROCAR</w:t>
        <w:br/>
        <w:t>Multiproduct</w:t>
        <w:br/>
        <w:t>single brand […]% […]%</w:t>
        <w:br/>
        <w:t>Multiproduct</w:t>
        <w:br/>
        <w:t>multi-brand […]% […]%</w:t>
        <w:br/>
        <w:t>Single product</w:t>
        <w:br/>
        <w:t>single brand […]% […]%</w:t>
        <w:br/>
        <w:t>Single product</w:t>
        <w:br/>
        <w:t>multi-brand […]% […]%</w:t>
      </w:r>
    </w:p>
    <w:p>
      <w:r>
        <w:t>Source: Notifying party</w:t>
      </w:r>
    </w:p>
    <w:p>
      <w:r>
        <w:t>According to the notifying party, neither LIGIER nor MICROCAR impose contractual exclusivity obligations on their retail distributors, […].</w:t>
      </w:r>
    </w:p>
    <w:p>
      <w:r>
        <w:t>In this regard, it is noteworthy that quadricycles fall within the scope of Regulation (EC) No 1400/2002 on motor vehicles, and that according to it, any direct or indirect non-competition obligation imposed on the distributor is prohibited, regardless of the supplier's market share, which effectively prevents prohibitions on dealing with competing products and penalties as mentioned above.</w:t>
      </w:r>
    </w:p>
    <w:p>
      <w:r>
        <w:t>[…].</w:t>
      </w:r>
    </w:p>
    <w:p>
      <w:r>
        <w:t>The remaining quadricycle manufacturers primarily use distributors that sell different brands and/or sell other products (such as motorcycles).</w:t>
      </w:r>
    </w:p>
    <w:p>
      <w:r>
        <w:t>V.4.- Potential Competition - Barriers to Entry</w:t>
      </w:r>
    </w:p>
    <w:p>
      <w:r>
        <w:t>According to the notifying party, there are no significant barriers to entry in this market.</w:t>
      </w:r>
    </w:p>
    <w:p>
      <w:r>
        <w:t>As can be inferred from the notification and the data provided by manufacturers in the market test, the development of a model from its conception to its mass production by a new entrant would take between […] and involve a cost ranging from […] million euros.</w:t>
      </w:r>
    </w:p>
    <w:p>
      <w:r>
        <w:t>When asked in the market test, manufacturers and retail distributors do not believe that a new producer will enter the market.</w:t>
      </w:r>
    </w:p>
    <w:p>
      <w:r>
        <w:rPr>
          <w:b/>
        </w:rPr>
        <w:t>[Pages 13–14]</w:t>
      </w:r>
    </w:p>
    <w:p>
      <w:r>
        <w:t>12. INVESTIGATION OF THE DECISION</w:t>
      </w:r>
    </w:p>
    <w:p>
      <w:r>
        <w:t>short term (i.e., in less than [...]), although several producers have entered and exited the market in recent years.</w:t>
      </w:r>
    </w:p>
    <w:p>
      <w:r>
        <w:t>Regarding the potential competition that automobile manufacturers could represent, it should be noted that there is no record of any having decided in the past to enter the quadricycle market, although they undoubtedly possess sufficient technological and financial capacity to enter the market, and it cannot be ruled out that they could do so in the event of a price increase.</w:t>
      </w:r>
    </w:p>
    <w:p>
      <w:r>
        <w:t>The notifying party estimates that between [...] quadricycles are imported annually into the EU from non-EU countries (mainly from the Indian producer REVA). Non-EU imports of quadricycles face a tariff of around 10%.</w:t>
      </w:r>
    </w:p>
    <w:p>
      <w:r>
        <w:t>As for the risk of exclusion in the retail distribution network, this does not seem relevant, given the described characteristics of the same, and quadricycles are also included within the scope of application of Community Regulation 1400/2002.</w:t>
      </w:r>
    </w:p>
    <w:p>
      <w:r>
        <w:t>VI. ASSESSMENT OF THE TRANSACTION</w:t>
      </w:r>
    </w:p>
    <w:p>
      <w:r>
        <w:t>The notified operation consists of the acquisition by 21 CP of exclusive control of MICROCAR.</w:t>
      </w:r>
    </w:p>
    <w:p>
      <w:r>
        <w:t>As a result of the operation, a quasi-duopolistic structure would be created in the market for the manufacture and wholesale distribution of light quadricycles, since the concentration of the second and third manufacturers (LIGIER – [20-30]% share in the EEA and in Spain - and MICROCAR – [20-30]% share in the EEA and in Spain, respectively) would result in an operator with [...] market share compared to the main company (Aixam, which has approximately [40-50]%).</w:t>
      </w:r>
    </w:p>
    <w:p>
      <w:r>
        <w:t>Regarding the possible unilateral effects arising from the concentration, AIXAM will remain the main producer in the market, and the supply of quadricycles is sufficiently broad, so it is expected that if LIGIER-MICROCAR were to unilaterally decide to raise their prices, both Aixam and smaller manufacturers would be in a position to maintain competitive pressure and meet demand. These considerations have been confirmed by the responses to the market test.</w:t>
      </w:r>
    </w:p>
    <w:p>
      <w:r>
        <w:t>Greater attention deserves the analysis of the possible creation of coordinated effects in the resulting market structure, which could reduce effective competition in the production and distribution market for quadricycles in the EEA, which could in turn affect effective competition in the retail marketing market for light quadricycles in Spain.</w:t>
      </w:r>
    </w:p>
    <w:p>
      <w:r>
        <w:t>Due to the characteristics of these markets and the resulting structure of the operation, conditions exist that could foster such effects. In particular, the technical homogeneity of the product, previously mentioned; the relative transparency of both wholesale and recommended retail prices (which, according to the market test, are mostly followed by retail distributors); and the [...] of shares between Aixam and LIGIER-MICROCAR, which would facilitate the alignment of interests. [...].</w:t>
      </w:r>
    </w:p>
    <w:p>
      <w:r>
        <w:t xml:space="preserve">However, there are elements that counteract the possibility that potential coordinated effects harmful to competition could unfold: </w:t>
        <w:br/>
        <w:t xml:space="preserve">- the requirement for demand stability would not occur as a decline is anticipated in the coming years due to the adverse economic situation, and especially due to the increase in quadricycle prices following the newly introduced registration tax and the requirement for theoretical and practical exams starting September 1 of this year to obtain the LCC. </w:t>
        <w:br/>
        <w:t xml:space="preserve">- the regulatory change introduced by Directive 2006/126/EC for obtaining the LCC will increase competitive pressure from light cars on the quadricycle market. As previously noted, starting September 1, a theoretical and practical exam will be required, which (despite being of lower difficulty than the normal driving license) will blur the main reason cited by consumers for demanding quadricycles: the desire not to have to pass any exam to obtain a driving license. Additionally, it should be noted that quadricycle prices are similar or even, in many cases, higher than those of the most basic cars, while offering significantly inferior performance. As a result, the light car market in its basic segment is expected to impose greater competitive constraints on quadricycle producers if they intend to raise their prices. </w:t>
        <w:br/>
        <w:t xml:space="preserve">- It should be noted that both according to the notifying party and the responses from competitors to the market test, there are widespread excess capacities in the EEA, including among small producers. </w:t>
        <w:br/>
        <w:t>- Finally, although demand is fragmented, the fact that most distributors, according to the data provided by the notifying party and the market test, are multi-product implies that they may have some negotiating power against unjustified price increase demands or tightening of commercial conditions.</w:t>
      </w:r>
    </w:p>
    <w:p>
      <w:r>
        <w:t>Thus, taking all of the above into account, it is not expected that the notified operation will cause significant harm to the maintenance of effective competition in the analyzed markets.</w:t>
      </w:r>
    </w:p>
    <w:p>
      <w:r>
        <w:t>VII. PROPOSAL</w:t>
      </w:r>
    </w:p>
    <w:p>
      <w:r>
        <w:t>In light of all the above and by virtue of Article 57.1 of Law 15/2007, of July 3, on Competition Defense, it is proposed to authorize the concentration, in application of Article 57.2.a) of Law 15/2007, of July 3, on Competition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