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https://www.cnmc.es/expedientes/c007608</w:t>
      </w:r>
    </w:p>
    <w:p>
      <w:r>
        <w:t>Pages translated : 8</w:t>
      </w:r>
    </w:p>
    <w:p/>
    <w:p>
      <w:r>
        <w:rPr>
          <w:b/>
        </w:rPr>
        <w:t>[Pages 1–3]</w:t>
      </w:r>
    </w:p>
    <w:p>
      <w:r>
        <w:t>NATIONAL COMMISSION FOR COMPETITION RESOLUTION (File C-0076/08, SANFLORA/FIGOSAL) COUNCIL D. Luis Berenguer Fuster, President D. Fernando Torremocha García-Sáenz, Vice President D. Emilio Conde Fernández-Oliva, Councilor Dª Pilar Sánchez Núñez, Councilor D. Julio Costas Comesaña, Councilor Dª Mª Jesús González López, Councilor Dª Inmaculada Gutiérrez Carrizo, Councilor In Madrid, on July 1, 2008. Having reviewed the file processed in accordance with Law 15/2007, of July 3, on the Defense of Competition, regarding the acquisition of exclusive control by SANFLORA SPAIN S.L. over FIGOSAL IBÉRICA S.L. (File C/0076/08) and agreeing with the report and proposal submitted by the Directorate of Investigation, the Council of the National Commission for Competition has resolved, pursuant to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C/0076/08 SANFLORA / FIGOSAL On June 9, 2008, the Directorate of Investigation received a notification regarding the economic concentration operation consisting of the acquisition of exclusive control by SANFLORA SPAIN S.L. (SANFLORA) over FIGOSAL IBÉRICA S.L. (FIGOSAL).1 This notification was made by SANFLORA in accordance with Article 9 of Law 15/2007, of July 3, on the Defense of Competition (LDC) for exceeding the sales volume threshold established in Article 8.1 b) of the aforementioned law. This operation is subject to the provisions of Royal Decree 261/2008, of February 22, which approves the Defense of Competition Regulation. Article 57.2.c) of Law 15/2007 establishes that the Council of the National Commission for Competition (CNC)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According to the above, the deadline to agree to initiate the second phase of the procedure is July 9, 2008, inclusive. After this date, the notified operation will be considered tacitly authorized. I.- NATURE OF THE OPERATION The notified concentration operation consists of the acquisition of exclusive control by MERCAPITAL S.L., through the investment vehicle SANFLORA, over FIGOSAL, by acquiring 90% of its share capital. The remaining 10% will be owned by OBRAS SUBTERRÁNEAS S.A. (OSSA), a subsidiary of the aforementioned FIGOSAL. The terms of the transaction are set forth in a Share Purchase Agreement signed on June 6, 2008, the execution of which is subject to the fulfillment of certain conditions, among others, the authorization of the operation by the CNC. 1 Hereinafter, information whose exact content has been declared confidential is indicated in brackets.</w:t>
      </w:r>
    </w:p>
    <w:p>
      <w:r>
        <w:t>II.- APPLICABILITY OF LAW 15/2007 ON THE DEFENSE OF COMPETITION According to the notifier, the operation does not fall within the scope of Council Regulation (EC) No 139/2004 of January 20, on the control of concentrations between undertakings, as it does not exceed the thresholds of Article 1, paragraphs 2 and 3 thereof. However, the notified operation meets the requirements set forth by Law 15/2007 for its notification, as it exceeds the threshold established in Article 8.1.b) of the same (turnover). The operation meets the requirements set forth in Article 56.1.a) of the LDC for its processing as an abbreviated procedure, insofar as there is no horizontal or vertical overlap between the parties. III.- PARTICIPATING COMPANIES III.1. SANFLORA SPAIN S.L. SANFLORA is an investment vehicle company that is ultimately owned by MERCAPITAL S.L.2 MERCAPITAL S.L. is a commercial company whose activities focus on the study, management, and participation in all kinds of businesses and companies, with a significant part of its business being to provide advice and management services in venture capital investment. According to the notifier, the MERCAPITAL group has not made any investments in the construction sector in general, nor in public works in particular. The turnover in Spain of SANFLORA, defined in accordance with Article 5 of Royal Decree 261/2008, was, in the previous fiscal year, according to the notifier, [...] million euros. III.2 FIGOSAL IBÉRICA S.L. FIGOSAL is a mere holding company whose share capital is controlled by the Figar family. FIGOSAL holds 93.01% of the share capital of OSSA, which is a 2 SANFLORA prior to the operation is 100% owned by CORALIA SOCIEDAD CIVIL which, in turn, is another investment vehicle for the investment funds advised by MERCAPITAL. After the approval of the operation, there will be a redistribution of the shareholding of SANFLORA, which will be 73.33% owned by MERCAPITAL SPANISH BUY-OUT FUND III. 3 Among the companies controlled by MERCAPITAL are: [...] among others. 4 [...]. 5 The remaining 6.99% of the share capital of OSSA is held by OSSA itself in treasury stock. 2.</w:t>
      </w:r>
    </w:p>
    <w:p>
      <w:r>
        <w:rPr>
          <w:b/>
        </w:rPr>
        <w:t>[Pages 4–6]</w:t>
      </w:r>
    </w:p>
    <w:p>
      <w:r>
        <w:t>company dedicated to civil construction, specializing in the development of tunnels, galleries, and underground engineering works in general. Additionally, OSSA owns 100% of the share capital of HISPANO SUECA DE INGENIERÍA S.A. (HISISA), a small company with 7 employees that provides support to its parent company OSSA. Neither FIGOSAL, OSSA, nor HISISA conduct any part of their business outside of Spain. The turnover in Spain of FIGOSAL, defined in accordance with Article 5 of Royal Decree 261/2008, was in the previous fiscal year, according to the notifier, [...] million euros. IV.- RELEVANT MARKETS IV.1 Product Market The acquired company (and more specifically its subsidiary OSSA) operates in the civil construction market, specializing in the development of tunnels, galleries, and underground engineering works in general. Since the acquiring company is a financial management entity that does not have, according to the notifier, control over any company related to this sector, the analysis will focus on the market in which the acquired company operates. According to the precedents of the European Commission6 and national competition authorities7, the activities of the acquired company would fall within the construction sector, which is divided into four markets: (I) civil works, (II) residential building, (III) non-residential building, and (IV) mechanical and electrical services. The civil works market encompasses a large number of activities related to the construction of road, rail, maritime, hydraulic infrastructures, etc., as well as their maintenance. The clients are generally Public Administrations, which leads to the identification of civil works with public works, a high degree of concentration and bargaining power, and the widespread application of specific regulations regarding public procurement8. From the supply perspective, the technical and economic requirements of the projects require specific qualifications of the operators. Thus, the now-defunct Competition Defense Tribunal (TDC) raised the possibility of distinguishing within the civil works market projects with a small budget (to which a large number of companies compete) from large civil works projects in which a smaller number of large construction companies participate and a very high number of medium and small companies that subcontract with them or that compete in the associated tenders among themselves. In the present case, OSSA is a company specialized in the development of tunnels, galleries, and underground engineering works in general, which represents a very narrow and specific area of activity within the described civil works market. Specifically, its activities can be grouped into the following segments: - Railway and road works: includes the construction of tunnels in linear infrastructure, that is, the construction of tunnels in large road and railway works. Currently, this is the main area for OSSA: the percentage of this activity in turnover relative to the total activities of OSSA is [90-100]%, with [50-60]% corresponding to railway works and [40-50]% to road works. - Mining: encompasses the construction of deep wells, excavation of galleries for further mining work, underground chambers to house auxiliary mining services. The percentage of this activity in turnover relative to the total activities of OSSA is [0-10]%. - Hydroelectric plants: in the construction of hydroelectric power plants, the product offered by OSSA is the construction of large underground chambers specifically prepared to house electric power generators, excavation of shafts, wells for cable conduits, and balance shafts. The percentage of this activity in turnover relative to the total activities of OSSA is [0-10]%. The notifier's position regarding market definitions is similar to that of the precedents, asserting that the different activities into which the civil works market is divided do not constitute separate markets, as the training, experience, and access to materials, equipment, and technology for the development of the different activities are similar and that operators can easily redirect their resources to carry out any of those activities. Considering that [90-100]% of the acquired company's activity is developed in the field of railway and road works, the analysis will focus on this subsector. In any case, given the nature of the operation, it is not considered necessary to finalize the definitions of the markets, as it would not change the assessment of the operation. IV.2 Geographic Market According to the cited national precedents and as the notifier also maintains, the relevant geographic dimension of the markets in the construction sector is national. This dimension is justified because construction companies usually provide their services predominantly within the same country and the activity of non-resident companies is not intense. This is mainly due to the fact that the final products of the sector are not transportable, the transportation costs of machinery and materials are very high, there is a high dependence on local suppliers, national regulations still present numerous specific characteristics (urban planning, building standards, contractor registries with public administrations, labor regulations, etc.), and demand shows a high loyalty to the national industry, as, in general, clients perceive that contracting with national companies shortens execution times and facilitates compliance with the agreed terms. Both the European Commission and the now-defunct TDC have recognized the existence of a trend towards the internationalization of most identified markets, without ruling out a broader geographic delimitation in the future. V. MARKET ANALYSIS V.1. Supply Structure The value of the national civil works market9 in the fiscal year 2007 amounted to 49,380 million euros. Of that figure, 11,820 million euros correspond to the construction of roads and 1,118 million euros to the construction of railways. OSSA's shares for each of the activities are [0-10]% in civil works in road infrastructure and [0-10]% in civil works in railway infrastructure. OSSA's most direct competitors, who are exclusively dedicated to tunnel construction, are Cavosa, a subsidiary of Sacyr, which is a subcontractor for a large part of the underground works awarded to its parent company; Nortúnel, Geotúnel; Ferpi; Insersa or Proacon, all of medium size. Competition with these companies occurs, predominantly, to obtain subcontracting by the large construction companies awarded large civil works projects. At other times, competition occurs through the bidding for a specific work or simply through their portfolio of private clients. However, according to the notifier, the main operators in the civil works market (ACS, Ferrovial, FCC, Acciona, OHL, and Sacyr-Vallehermoso) 9 Source: notifier based on the SEOPAN Intervention IX National Construction Days, 04/29/08.</w:t>
      </w:r>
    </w:p>
    <w:p>
      <w:r>
        <w:rPr>
          <w:b/>
        </w:rPr>
        <w:t>[Pages 7–8]</w:t>
      </w:r>
    </w:p>
    <w:p>
      <w:r>
        <w:t>their portfolio of private clients. However, according to the notifier, the main operators in the civil works market (ACS, Ferrovial, FCC, Acciona, OHL, and Sacyr-Vallehermoso) undertake underground infrastructures without the need to resort to another company to execute them. And on other occasions, it is agreed to work in a Temporary Union of Companies (UTE) or subcontract another company for this task. This implies that these construction companies have a dual role as competitors and clients for smaller companies like OSSA, depending on the specific project.</w:t>
      </w:r>
    </w:p>
    <w:p>
      <w:r>
        <w:t>V.2. Demand Structure According to the previous case N-04087 ISOLUX-CORSAM-CORVIAM, the construction sector is diversified and dispersed. Regarding civil works in general, the demand is mainly composed of Public Administrations, whose contracting capacity is regulated, in general, for these activities, by public procurement regulations, and to a much lesser extent by private agents, who contact several construction companies to request quotes and ultimately choose the one that offers the best quality-price balance. In both cases, the demanders have significant purchasing power and resort to tenders for the awarding of projects, unilaterally setting their execution conditions. As for OSSA's clients, [50-60]% of the company's turnover comes from Public Administrations, both from the State and from Autonomous Communities; [30-40]% from other construction companies for which it works as a subcontractor, and [10-20]% from hydroelectric and mining companies.</w:t>
      </w:r>
    </w:p>
    <w:p>
      <w:r>
        <w:t>V.3. Potential Competition - Barriers to Entry Companies operating in the relevant construction markets have increasingly significant financial needs due to their growing participation in the financing of the works in which they are involved. Additionally, there are regulatory barriers justified by the characteristics of the affected markets in terms of urban planning. Among these barriers are the necessary administrative classification of the contractor, the obligation to have certain technical capacity (such as the requirement of minimum experience in similar projects, qualification of the workforce, etc.), and economic and financial solvency (such as the requirement of minimum levels of turnover or assets, provision of guarantees, etc.) to participate in tenders. Furthermore, it should be noted that community companies classified in their respective countries must also be considered potential competitors in the Spanish markets, as long as they justify that their country of origin allows the participation of Spanish companies in a similar and non-discriminatory manner.</w:t>
      </w:r>
    </w:p>
    <w:p>
      <w:r>
        <w:t>VI. ASSESSMENT OF THE OPERATION The present operation consists of the acquisition by MERCAPITAL S.L. of exclusive control over FIGOSAL. As a result of the notified concentration operation, there will be no modification in the competitive structure of the affected markets, as the acquiring group is not present in them or in vertically related markets. Considering the aforementioned considerations, it cannot be expected that the notified operation poses a threat to effective competition in the analyzed markets.</w:t>
      </w:r>
    </w:p>
    <w:p>
      <w:r>
        <w:t>VII. PROPOSAL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