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https://www.cnmc.es/expedientes/c007708</w:t>
      </w:r>
    </w:p>
    <w:p>
      <w:r>
        <w:t>Pages translated : 16</w:t>
      </w:r>
    </w:p>
    <w:p/>
    <w:p>
      <w:r>
        <w:rPr>
          <w:b/>
        </w:rPr>
        <w:t>[Pages 1–3]</w:t>
      </w:r>
    </w:p>
    <w:p>
      <w:r>
        <w:t>NATIONAL COMMISSION</w:t>
        <w:br/>
        <w:t>FOR COMPETITION</w:t>
        <w:br/>
        <w:t>RESOLUTION (Exp. C-0077/08, ZODIAC/DRIESSEN AEROSPACE)</w:t>
        <w:br/>
        <w:t>COUNCIL</w:t>
        <w:br/>
        <w:t>Mr. Luis Berenguer Fuster, President</w:t>
        <w:br/>
        <w:t>Mr. Emilio Conde Fernández-Oliva, Councilor</w:t>
        <w:br/>
        <w:t>Mr. Miguel Cuerdo Mir, Councilor</w:t>
        <w:br/>
        <w:t>Mr. Julio Costas Comesaña, Councilor</w:t>
        <w:br/>
        <w:t>Ms. Mª Jesús González López, Councilor</w:t>
        <w:br/>
        <w:t>Ms. Inmaculada Gutiérrez Carrizo, Councilor</w:t>
        <w:br/>
        <w:t>In Madrid, on July 10, 2008.</w:t>
        <w:br/>
        <w:t>Having reviewed the file processed in accordance with Law 15/2007, of July 3, on the Defense of Competition, regarding the acquisition by ZODIAC S.A. of the exclusive control of DRIESSEN AEROSPACE GROUP N.V. (Exp. C/0077/08) and agreeing with the report and proposal submitted by the Directorate of Investigation, the Council of the National Commission for Competition has resolved, under the application of Article 57.2.a) of the aforementioned Law, to authorize the said concentration operation in the first phase.</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w:t>
        <w:br/>
        <w:t>FOR COMPETITION DIRECTORATE OF INVESTIGATION</w:t>
        <w:br/>
        <w:t>REPORT AND PROPOSAL FOR RESOLUTION</w:t>
        <w:br/>
        <w:t>FILE C-0077/08 ZODIAC / DRIESSEN AEROSPACE</w:t>
        <w:br/>
        <w:t>On June 13, 2008, a notification regarding the acquisition by ZODIAC S.A. (hereinafter ZODIAC) of the exclusive control of DRIESSEN AEROSPACE GROUP N.V. (hereinafter DAG) was received by this Directorate of Investigation.</w:t>
        <w:br/>
        <w:t>This notification was made by ZODIAC as established in Article 9 of Law 15/2007, of July 3, on the Defense of Competition for exceeding the threshold established in Article 8.1 a). This operation is subject to the provisions of Royal Decree 261/2008, of February 22, which approves the Regulation on the Defense of Competition.</w:t>
        <w:br/>
        <w:t>Article 57.2 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br/>
        <w:t>Furthermore, Article 38.2 of Law 15/2007 adds: "The expiration of the maximum period established in Article 36.2.a) of this Law for the resolution in the first phase of control of concentrations shall determine the acceptance of the corresponding request by administrative silence, except in the cases provided for in Articles 9.5, 55.5, and 57.2.d) of this Law."</w:t>
        <w:br/>
        <w:t>In accordance with the provisions of Article 9.6 of Law 15/2007, the notifying party requests that the suspension of the execution of the concentration be lifted.</w:t>
        <w:br/>
        <w:t>Accordingly, the deadline to agree to initiate the second phase of the procedure is July 14, 2008, inclusive. After this date, the notified operation will be considered tacitly authorized.</w:t>
        <w:br/>
        <w:t>I. NATURE OF THE OPERATION</w:t>
        <w:br/>
        <w:t>The notified operation consists of the acquisition by ZODIAC of the exclusive control of DAG.</w:t>
        <w:br/>
        <w:t>The operation is executed through a purchase agreement for 100% of the share capital of DAG, signed on June 2, 2008.</w:t>
        <w:br/>
        <w:t>Finally, it should be noted that the execution of the operation is conditioned upon the authorization of the operation by the competition authorities of Portugal, Germany, Brazil, and Spain.</w:t>
        <w:br/>
        <w:t>II. ACCESSORY RESTRICTIONS</w:t>
      </w:r>
    </w:p>
    <w:p>
      <w:r>
        <w:t>II.1. Non-Compete Clause</w:t>
        <w:br/>
        <w:t>Clause 10.4 of the purchase agreement includes a non-compete agreement whereby Florijn Investments BV1 and its subsidiaries commit, for a period of [not exceeding three years]2 from the closing of the operation, not to engage in businesses that compete with the activities of the acquired company in the territory where it has been conducting its business.</w:t>
        <w:br/>
        <w:t>II.2. Non-Solicitation Clause</w:t>
        <w:br/>
        <w:t>Clause 10.5 of the purchase agreement includes a non-solicitation agreement whereby the sellers commit, for a period of [not exceeding three years] from the closing of the operation, not to make job offers to DAG employees without the prior consent of ZODIAC.</w:t>
        <w:br/>
        <w:t>II.3 Valuation</w:t>
        <w:br/>
        <w:t>Section 3 of Article 10 of Law 15/2007 establishes that "certain accessory restrictions on competition, directly linked to the operation and necessary for its execution, may be understood to be included."</w:t>
        <w:br/>
        <w:t>Taking into account national and community precedents, as well as the Commission's Communication on restrictions directly related and necessary for concentration operations (2005/C56/03), it is considered that in this case the duration and content of the non-compete and non-solicitation clauses do not go beyond what is reasonably required by the notified concentration operation, thus being considered an integral part of the operation.</w:t>
        <w:br/>
        <w:t>III. PARTICIPATING COMPANIES</w:t>
        <w:br/>
        <w:t>III.1. ZODIAC S.A. (ZODIAC)</w:t>
        <w:br/>
        <w:t>ZODIAC is a French company active in the manufacture of various products belonging to the following business areas:</w:t>
        <w:br/>
        <w:t>(i) Air safety systems, including emergency evacuation systems, parachutes and protection systems, electrical interconnection systems, emergency systems as well as elastomer systems and technology.</w:t>
        <w:br/>
        <w:t>(ii) Aircraft control and management systems, including electrical power management, actuators, sensors and electric motors, oxygen and life support, hydraulic and control systems, onboard computers, fuel circulation, spare parts and maintenance services.</w:t>
        <w:br/>
        <w:t xml:space="preserve">(iii) Aircraft cabin interiors, including the design and manufacture of seats, cabin design and furnishing (walls, coverings, storage, </w:t>
        <w:br/>
        <w:t>1 One of the sellers.</w:t>
        <w:br/>
        <w:t>2 Information whose exact content has been declared confidential is indicated in brackets.</w:t>
      </w:r>
    </w:p>
    <w:p>
      <w:r>
        <w:rPr>
          <w:b/>
        </w:rPr>
        <w:t>[Pages 4–6]</w:t>
      </w:r>
    </w:p>
    <w:p>
      <w:r>
        <w:t xml:space="preserve">maintenance.  </w:t>
        <w:br/>
        <w:t xml:space="preserve">(iii) aircraft cabin interiors, including the design and manufacture of seats, cabin design and furnishing (walls, covers, storage, waste chutes, galleys, ducts) and cabin systems (particularly water distribution and treatment systems, sanitation systems, and compactors).  </w:t>
        <w:br/>
        <w:t xml:space="preserve">(iv) Technology, including telemetry, telecommunications, and airbags for the automotive industry.  </w:t>
        <w:br/>
        <w:t xml:space="preserve">ZODIAC is a publicly traded company and is not controlled by any natural or legal person. In Spain, it operates through three subsidiaries: Sicma AeroSeat España, Zodiac Automotive España, and Zodiac Holding Sicma Aeroseat.  </w:t>
        <w:br/>
        <w:t xml:space="preserve">The revenue of ZODIAC in the fiscal year 2006-2007, in accordance with Art. 5 of R.D.261/2008, is as follows:  </w:t>
        <w:br/>
        <w:t xml:space="preserve">ZODIAC'S TURNOVER IN THE FISCAL YEAR 2006-2007  </w:t>
        <w:br/>
        <w:t xml:space="preserve">(Millions of euros)  </w:t>
        <w:br/>
        <w:t xml:space="preserve">WORLD EU SPAIN  </w:t>
        <w:br/>
        <w:t xml:space="preserve">[&lt;2.500] [&gt;250] [&lt;60]  </w:t>
        <w:br/>
        <w:t xml:space="preserve">Source: Notification  </w:t>
        <w:br/>
        <w:t xml:space="preserve">III.2 DRIESSEN AEROSPACE GROUP N.V. (DAG)  </w:t>
        <w:br/>
        <w:t xml:space="preserve">DAG is the parent company of a group of operational companies internationally dedicated to the manufacture and marketing of galleys for aircraft, galley equipment (which includes, among other items, trolleys, folding trolleys, containers, drawers, coolers, ovens, thermoses, and linings) and equipment for the commercial aviation industry (such as crew rest compartments for aircraft and cargo equipment for aircraft). These products are served through a global service network and maintenance stations.  </w:t>
        <w:br/>
        <w:t xml:space="preserve">Along with its core aircraft business, DAG offers kitchen equipment for the railway transport markets, hospitals, and cruise lines.  </w:t>
        <w:br/>
        <w:t xml:space="preserve">DAG is controlled by its four shareholders: Florijn Investments BV, AlpInvest Private Equity Fund CV, Investment Fund I – Direct en Co C.V. (AlpInvest), and NPM Capital NV.  </w:t>
        <w:br/>
        <w:t xml:space="preserve">In Spain, DAG only carries out marketing activities and does not manufacture such equipment. This marketing is carried out through its subsidiary Agent Spain Aviation Products.  </w:t>
        <w:br/>
        <w:t xml:space="preserve">The revenue of DAG in the last fiscal year, in accordance with Art. 5 of R.D.261/2008, is as follows:  </w:t>
        <w:br/>
        <w:t xml:space="preserve">DAG'S TURNOVER IN THE FISCAL YEAR 2007  </w:t>
        <w:br/>
        <w:t xml:space="preserve">(Millions of euros)  </w:t>
        <w:br/>
        <w:t xml:space="preserve">WORLD EU SPAIN  </w:t>
        <w:br/>
        <w:t xml:space="preserve">[&lt;2.500] [&lt;250] [&lt;60]  </w:t>
        <w:br/>
        <w:t xml:space="preserve">Source: Notification  </w:t>
        <w:br/>
        <w:t xml:space="preserve">IV. RELEVANT MARKETS  </w:t>
        <w:br/>
        <w:t xml:space="preserve">IV.1. Product Market  </w:t>
        <w:br/>
        <w:t xml:space="preserve">The operation falls within the sector of manufacturing aircraft cabin interiors. In particular, DAG markets galleys for aircraft, galley equipment, and cargo equipment for aircraft in Spain.  </w:t>
        <w:br/>
        <w:t xml:space="preserve">According to the information available to the notifying party and this Directorate of Investigation, there are no national or community precedents that define these markets.  </w:t>
        <w:br/>
        <w:t xml:space="preserve">The notifying party proposes the definition of the following product markets:  </w:t>
        <w:br/>
        <w:t xml:space="preserve">(a) Galleys for Aircraft  </w:t>
        <w:br/>
        <w:t xml:space="preserve">This market consists of the kitchen areas for onboard preparation of food and beverages for the aircraft. These galleys are typically supplied to new aircraft through multi-year contracts for orders of several aircraft.  </w:t>
        <w:br/>
        <w:t xml:space="preserve">The notifying party considers that, in view of the characteristics of these products, the market for galleys for aircraft should be segmented based on the type of aircraft for which they are manufactured, namely, large commercial aircraft, regional aircraft, and small business aircraft. In fact, a manufacturer of galleys for large aircraft, for example, would not be able to produce galleys for regional aircraft without a significant investment in R&amp;D, and vice versa, as the production facilities are dedicated to the production of a specific line of galleys.  </w:t>
        <w:br/>
        <w:t xml:space="preserve">Consequently, the notifying party considers it acceptable to regard a differentiated product market within the market for the manufacture and sale of galleys for aircraft according to each of the existing types of aircraft.  </w:t>
        <w:br/>
        <w:t xml:space="preserve">Taking into account DAG's activities in Spain, the notifying party considers the existence of a single relevant market: the market for the manufacture and marketing of galleys for large aircraft, given that neither the acquirer nor the acquired are present in Spain in the markets for galleys for regional and small aircraft.  </w:t>
        <w:br/>
        <w:t xml:space="preserve">(b) Galley Equipment  </w:t>
        <w:br/>
        <w:t xml:space="preserve">Galley equipment is intended to enable the preparation and service of meals onboard. This equipment fits into the galleys where it is stored and includes, among others, trolleys, folding trolleys, containers, drawers, coolers, ovens, thermoses, linings, as well as linings for ovens intended for the purposes described above.  </w:t>
        <w:br/>
        <w:t xml:space="preserve">With respect to the aforementioned products, the notifying party observes that the clients (i.e., the airlines) do not acquire all their galley equipment from a single supplier, but rather select a specific supplier for each type of galley equipment they need. The notifying party also highlights that the technology and skills required for the production of each type of galley equipment are different and specific. In fact, the materials used to produce a certain type of galley equipment cannot be used for another, and the prices for the different products are significantly different. Furthermore, the notifying party points out that there are no producers offering a complete range of galley equipment.  </w:t>
        <w:br/>
        <w:t xml:space="preserve">Consequently, the notifying party considers that each of the different types of galley equipment constitutes a differentiated product market. This interpretation is consistent with the market definition made by the European Commission in the automotive sector, according to which each type of automotive component can constitute a separate product market given that there is no substitutability between the different types of components3.  </w:t>
        <w:br/>
        <w:t xml:space="preserve">Therefore, taking into account DAG's activities in Spain, the notifying party proposes the following product markets: (i) the market for the manufacture and marketing of trolleys for aircraft, (ii) the market for the manufacture and marketing of linings for aircraft, (iii) the market for the manufacture and marketing of ovens for aircraft, and (iv) the market for the manufacture and marketing of thermoses for aircraft.  </w:t>
        <w:br/>
        <w:t xml:space="preserve">However, the market for the manufacture and marketing of ovens for aircraft and the market for the manufacture and marketing of thermoses for aircraft are not relevant markets for the purposes of this operation given that the joint share of the parties in these markets is below 15% in Spain and the parties do not reach an individual or joint share of 25% in Spain in a product market vertically related to these.  </w:t>
        <w:br/>
        <w:t xml:space="preserve">(c) Cargo Equipment for Aircraft  </w:t>
        <w:br/>
        <w:t xml:space="preserve">The cargo equipment manufactured and marketed by DAG includes two types of products: containers and pallets.  </w:t>
        <w:br/>
        <w:t xml:space="preserve">Cargo containers are containers or large boxes (mostly made of aluminum) with walls and covered on top. This type of container is primarily used to store loose parts, smaller parts, etc.  </w:t>
        <w:br/>
        <w:t xml:space="preserve">Cargo pallets are platforms on which the cargo, which must be pre-packaged, is placed and secured with a series of straps.  </w:t>
        <w:br/>
        <w:t>3 See European Commission Decision of July 17, 1998, Case IV/M.1189 - TEKSID/NORSK HYDRO PRODUKSJON/MERIDIAN.</w:t>
      </w:r>
    </w:p>
    <w:p>
      <w:r>
        <w:rPr>
          <w:b/>
        </w:rPr>
        <w:t>[Pages 7–9]</w:t>
      </w:r>
    </w:p>
    <w:p>
      <w:r>
        <w:t>holding. This type of container is used to store larger or heavier parts, boxes that can be stacked, or other materials of larger dimensions that do not fit into the previously described cargo containers.</w:t>
      </w:r>
    </w:p>
    <w:p>
      <w:r>
        <w:t>Therefore, the uses of each are different: while cargo containers are used to store loose parts of smaller size, cargo pallets are used to transport large-sized parts that must be packaged beforehand.</w:t>
      </w:r>
    </w:p>
    <w:p>
      <w:r>
        <w:t>Additionally, the notifying party emphasizes that airlines do not purchase all their cargo equipment from a single supplier, but rather select a specific supplier for each of the products they need. The prices of each of these cargo equipment items are also significantly different.</w:t>
      </w:r>
    </w:p>
    <w:p>
      <w:r>
        <w:t>For all these reasons, the notifying party considers that cargo equipment can be segmented into at least two different markets: (i) the market for the manufacture and marketing of cargo containers for aircraft and (ii) the market for the manufacture and marketing of cargo pallets for aircraft.</w:t>
      </w:r>
    </w:p>
    <w:p>
      <w:r>
        <w:t>Taking all of the above into account and for the purposes of the present operation, this Directorate of Investigation will analyze the effects of the same on the markets for the manufacture and marketing of galleys for large aircraft, aircraft trolleys, aircraft linings, cargo containers for aircraft, and cargo pallets for aircraft.</w:t>
      </w:r>
    </w:p>
    <w:p>
      <w:r>
        <w:t xml:space="preserve">IV.2. Geographic Market </w:t>
        <w:br/>
        <w:t>In the aerospace industry, markets have generally been considered by the European Commission4 as at least corresponding to the dimension of the European Economic Area (EEA) and even to a global dimension in certain cases, due to the global scope of competition among aircraft manufacturers, airlines, and other operators in this industry.</w:t>
      </w:r>
    </w:p>
    <w:p>
      <w:r>
        <w:t>Likewise, the notifying party considers that the competitive conditions are very similar worldwide. Specifically, the clients (the airlines and aircraft fuselage manufacturers) are active globally, and the contracts signed with these clients are also of global scope.</w:t>
      </w:r>
    </w:p>
    <w:p>
      <w:r>
        <w:t>Therefore, the relevant geographic market will be considered as the global market, although the effects on the national market will also be taken into account in the analysis of the present operation.</w:t>
      </w:r>
    </w:p>
    <w:p>
      <w:r>
        <w:t xml:space="preserve">V. MARKET ANALYSIS </w:t>
        <w:br/>
        <w:t xml:space="preserve">V.1.- Supply Structure </w:t>
        <w:br/>
        <w:t>4 See, for example, the decisions of the European Commission of May 11, 2000, COMP/M.1745 – EADS; of July 3, 2001 – COMP/M.2220 – GENERAL ELECTRIC/HONEYWELL; of December 22, 2004, COMP/M.3621 – SAGEM/SNECMA; of April 14, 2004, COMP/M.3374 – SR TECHNICS/FLS AEROSPACE.</w:t>
      </w:r>
    </w:p>
    <w:p>
      <w:r>
        <w:t xml:space="preserve">(a) Galleys for Large Aircraft </w:t>
        <w:br/>
        <w:t>According to the notifying party, the supply structure in the global market for galleys for large aircraft in 2007 was as follows:</w:t>
      </w:r>
    </w:p>
    <w:p>
      <w:r>
        <w:t xml:space="preserve">WORLD MARKET FOR GALLEYS </w:t>
        <w:br/>
        <w:t xml:space="preserve">FOR LARGE AIRCRAFT IN 2007 </w:t>
        <w:br/>
        <w:t xml:space="preserve">Operators Share </w:t>
        <w:br/>
        <w:t xml:space="preserve">ZODIAC [0-10]% </w:t>
        <w:br/>
        <w:t xml:space="preserve">DAG [10-20]% </w:t>
        <w:br/>
        <w:t xml:space="preserve">ZODIAC + DAG [10-20]% </w:t>
        <w:br/>
        <w:t xml:space="preserve">SELL [30-40]% </w:t>
        <w:br/>
        <w:t xml:space="preserve">JAMCO [20-30]% </w:t>
        <w:br/>
        <w:t xml:space="preserve">AIM [10-20]% </w:t>
        <w:br/>
        <w:t xml:space="preserve">OTHERS [10-20]% </w:t>
        <w:br/>
        <w:t xml:space="preserve">TOTAL 100% </w:t>
        <w:br/>
        <w:t>Source: Notifier</w:t>
      </w:r>
    </w:p>
    <w:p>
      <w:r>
        <w:t>In the world market for galleys for large aircraft, ZODIAC will acquire the [10-20]% share of DAG, thus obtaining a [10-20]% share and assuming the fourth position in the market that DAG already held.</w:t>
      </w:r>
    </w:p>
    <w:p>
      <w:r>
        <w:t>According to the notifier, the supply structure in the market for galleys for large aircraft in Spain in 2007 was as follows:</w:t>
      </w:r>
    </w:p>
    <w:p>
      <w:r>
        <w:t xml:space="preserve">MARKET FOR GALLEYS </w:t>
        <w:br/>
        <w:t xml:space="preserve">FOR LARGE AIRCRAFT IN SPAIN IN 2007 </w:t>
        <w:br/>
        <w:t xml:space="preserve">Operators Share </w:t>
        <w:br/>
        <w:t xml:space="preserve">ZODIAC [0-10]% </w:t>
        <w:br/>
        <w:t xml:space="preserve">DAG [20-30]% </w:t>
        <w:br/>
        <w:t xml:space="preserve">ZODIAC + DAG [20-30]% </w:t>
        <w:br/>
        <w:t xml:space="preserve">SELL [30-40]% </w:t>
        <w:br/>
        <w:t xml:space="preserve">JAMCO [20-30]% </w:t>
        <w:br/>
        <w:t xml:space="preserve">AIM [10-20]% </w:t>
        <w:br/>
        <w:t xml:space="preserve">OTHERS [0-10]% </w:t>
        <w:br/>
        <w:t xml:space="preserve">TOTAL 100% </w:t>
        <w:br/>
        <w:t>Source: Notifier</w:t>
      </w:r>
    </w:p>
    <w:p>
      <w:r>
        <w:t>ZODIAC is not present in the market for galleys for large aircraft in Spain and after the operation will assume the [20-30]% share of DAG, the third operator in Spain.</w:t>
      </w:r>
    </w:p>
    <w:p>
      <w:r>
        <w:t xml:space="preserve">(b) Trolleys for Aircraft </w:t>
        <w:br/>
        <w:t>According to the notifying party, the supply structure in the global market for aircraft trolleys in 2007 was as follows:</w:t>
      </w:r>
    </w:p>
    <w:p>
      <w:r>
        <w:rPr>
          <w:b/>
        </w:rPr>
        <w:t>[Pages 10–12]</w:t>
      </w:r>
    </w:p>
    <w:p>
      <w:r>
        <w:t>WORLD MARKET FOR AIRCRAFT TROLLEYS IN 2007</w:t>
        <w:br/>
        <w:t>Operators Share</w:t>
        <w:br/>
        <w:t>ZODIAC [0-10]%</w:t>
        <w:br/>
        <w:t>DAG [40-50]%</w:t>
        <w:br/>
        <w:t>ZODIAC + DAG [40-50]%</w:t>
        <w:br/>
        <w:t>DIETHELM [20-30]%</w:t>
        <w:br/>
        <w:t>IACOBUCCI [20-30]%</w:t>
        <w:br/>
        <w:t>OTHERS [0-10]%</w:t>
        <w:br/>
        <w:t>TOTAL 100%</w:t>
        <w:br/>
        <w:t>Source: Notifier</w:t>
        <w:br/>
        <w:t>ZODIAC is not present in the world market for aircraft trolleys. After the transaction, it will assume the [40-50]% share of DAG, which leads this market followed by Diethelm ([20-30]%).</w:t>
        <w:br/>
        <w:t>According to the notifier, the supply structure in the market for aircraft trolleys in Spain in 2007 was as follows:</w:t>
        <w:br/>
        <w:t>MARKET FOR AIRCRAFT TROLLEYS IN SPAIN IN 2007</w:t>
        <w:br/>
        <w:t>Operators Share</w:t>
        <w:br/>
        <w:t>ZODIAC [0-10]%</w:t>
        <w:br/>
        <w:t>DAG [70-80]%</w:t>
        <w:br/>
        <w:t>ZODIAC + DAG [70-80]%</w:t>
        <w:br/>
        <w:t>DIETHELM [10-20]%</w:t>
        <w:br/>
        <w:t>IACOBUCCI [10-20]%</w:t>
        <w:br/>
        <w:t>TOTAL 100%</w:t>
        <w:br/>
        <w:t>Source: Notifier</w:t>
        <w:br/>
        <w:t>ZODIAC is not present in the market for aircraft trolleys in Spain. After the transaction, it will assume the [70-80]% share of DAG, becoming the first operator in our country followed by Diethelm and Iacobucci, which in 2007 had shares of [10-20]% and [10-20]%, respectively.</w:t>
        <w:br/>
        <w:t>(c) Aircraft Coatings</w:t>
        <w:br/>
        <w:t>According to the notifier, the supply structure in the world market for aircraft coatings in 2007 was as follows:</w:t>
        <w:br/>
        <w:t>WORLD MARKET FOR AIRCRAFT COATINGS IN 2007</w:t>
        <w:br/>
        <w:t>Operators Share</w:t>
        <w:br/>
        <w:t>ZODIAC [0-10]%</w:t>
        <w:br/>
        <w:t>DAG [40-30]%</w:t>
        <w:br/>
        <w:t>ZODIAC + DAG [40-30]%</w:t>
        <w:br/>
        <w:t>LSG [10-20]%</w:t>
        <w:br/>
        <w:t>DIETHELM [10-20]%</w:t>
        <w:br/>
        <w:t>OTHERS [30-40]%</w:t>
        <w:br/>
        <w:t>TOTAL 100%</w:t>
        <w:br/>
        <w:t>Source: Notifier</w:t>
        <w:br/>
        <w:t>ZODIAC is not present in the world market for aircraft coatings. After the transaction, it will assume the [40-50]% share of DAG, which leads the market ahead of LSG ([10-20]%).</w:t>
        <w:br/>
        <w:t>According to the notifier, the supply structure in the market for aircraft coatings in Spain in 2007 was as follows:</w:t>
        <w:br/>
        <w:t>MARKET FOR AIRCRAFT COATINGS IN SPAIN IN 2007</w:t>
        <w:br/>
        <w:t>Operators Share</w:t>
        <w:br/>
        <w:t>ZODIAC [0-10]%</w:t>
        <w:br/>
        <w:t>DAG [20-30]%</w:t>
        <w:br/>
        <w:t>ZODIAC + DAG [20-30]%</w:t>
        <w:br/>
        <w:t>LSG [20-30]%</w:t>
        <w:br/>
        <w:t>DIETHELM [10-20]%</w:t>
        <w:br/>
        <w:t>OTHERS [30-40]%</w:t>
        <w:br/>
        <w:t>TOTAL 100%</w:t>
        <w:br/>
        <w:t>Source: Notifier</w:t>
        <w:br/>
        <w:t>ZODIAC is not present in the market for aircraft coatings in Spain. After the transaction, it will assume the [20-30]% share of DAG, the leading operator in our country, closely followed by LSG ([20-30]%).</w:t>
        <w:br/>
        <w:t>(d) Aircraft Cargo Containers</w:t>
        <w:br/>
        <w:t>According to the notifier, the supply structure in the world market for aircraft cargo containers in 2007 was as follows:</w:t>
        <w:br/>
        <w:t>WORLD MARKET FOR AIRCRAFT CARGO CONTAINERS IN 2007</w:t>
        <w:br/>
        <w:t>Operators Share</w:t>
        <w:br/>
        <w:t>ZODIAC [0-10]%</w:t>
        <w:br/>
        <w:t>DAG [20-30]%</w:t>
        <w:br/>
        <w:t>ZODIAC + DAG [20-30]%</w:t>
        <w:br/>
        <w:t>NORDISK [40-50]%</w:t>
        <w:br/>
        <w:t>DOKASCH [10-20]%</w:t>
        <w:br/>
        <w:t>FYLIN [10-20]%</w:t>
        <w:br/>
        <w:t>OTHERS [10-20]%</w:t>
        <w:br/>
        <w:t>TOTAL 100%</w:t>
        <w:br/>
        <w:t>Source: Notifier</w:t>
        <w:br/>
        <w:t>ZODIAC is not present in the world market for aircraft cargo containers. After the transaction, it will assume the [20-30]% share of DAG, becoming the second operator in the market far behind the leader Nordisk ([40-50]%).</w:t>
        <w:br/>
        <w:t>According to the notifier, the supply structure in the market for aircraft cargo containers in Spain in 2007 was as follows:</w:t>
        <w:br/>
        <w:t>MARKET FOR AIRCRAFT CARGO CONTAINERS IN SPAIN IN 2007</w:t>
        <w:br/>
        <w:t>Operators Share</w:t>
        <w:br/>
        <w:t>ZODIAC [0-10]%</w:t>
        <w:br/>
        <w:t>DAG [0-10]%</w:t>
        <w:br/>
        <w:t>ZODIAC + DAG [0-10]%</w:t>
        <w:br/>
        <w:t>NORDISK [70-80]%</w:t>
        <w:br/>
        <w:t>DOKASCH [10-20]%</w:t>
        <w:br/>
        <w:t>OTHERS [10-20]%</w:t>
        <w:br/>
        <w:t>TOTAL 100%</w:t>
        <w:br/>
        <w:t>Source: Notifier</w:t>
        <w:br/>
        <w:t>ZODIAC is not present in the market for aircraft cargo containers in Spain. After the transaction, it will assume the share of DAG, which has a negligible presence ([0-10]%).</w:t>
        <w:br/>
        <w:t>(e) Aircraft Cargo Pallets</w:t>
        <w:br/>
        <w:t>According to the notifier, the supply structure in the world market for aircraft cargo pallets in 2007 was as follows:</w:t>
      </w:r>
    </w:p>
    <w:p>
      <w:r>
        <w:rPr>
          <w:b/>
        </w:rPr>
        <w:t>[Pages 13–15]</w:t>
      </w:r>
    </w:p>
    <w:p>
      <w:r>
        <w:t>WORLD MARKET FOR</w:t>
        <w:br/>
        <w:t>AIRCRAFT CARGO PALLETS IN 2007</w:t>
        <w:br/>
        <w:t>Operators Share</w:t>
        <w:br/>
        <w:t>ZODIAC [0-10]%</w:t>
        <w:br/>
        <w:t>DAG [20-30]%</w:t>
        <w:br/>
        <w:t>ZODIAC + DAG [20-30]%</w:t>
        <w:br/>
        <w:t>NORDISK [30-40]%</w:t>
        <w:br/>
        <w:t>PALNET [30-40]%</w:t>
        <w:br/>
        <w:t>OTHERS [10-20]%</w:t>
        <w:br/>
        <w:t>TOTAL 100%</w:t>
        <w:br/>
        <w:t>Source: Notifier</w:t>
        <w:br/>
        <w:t>ZODIAC is not present in the world market for aircraft cargo pallets. After the transaction, it will acquire the [20-30]% share of DAG, becoming the third operator in the market behind Nordisk and Palnet ([30-40]% and [30-40%], respectively).</w:t>
        <w:br/>
        <w:t>According to the notifier, the supply structure in the market for aircraft cargo pallets in Spain in 2007 was as follows:</w:t>
        <w:br/>
        <w:t>MARKET FOR AIRCRAFT CARGO PALLETS</w:t>
        <w:br/>
        <w:t>IN SPAIN IN 2007</w:t>
        <w:br/>
        <w:t>Operators Share</w:t>
        <w:br/>
        <w:t>ZODIAC [0-10]%</w:t>
        <w:br/>
        <w:t>DAG [0-10]%</w:t>
        <w:br/>
        <w:t>ZODIAC + DAG [0-10]%</w:t>
        <w:br/>
        <w:t>NORDISK [90-100]%</w:t>
        <w:br/>
        <w:t>DOKASCH [0-10]%</w:t>
        <w:br/>
        <w:t>TOTAL 100%</w:t>
        <w:br/>
        <w:t>Source: Notifier</w:t>
        <w:br/>
        <w:t>ZODIAC is not present in the market for aircraft cargo pallets in Spain. After the transaction, it will acquire the small share of [0-10]% of DAG, far behind the undisputed leader, Nordisk ([90-100]%).</w:t>
        <w:br/>
        <w:t>V.2.- Demand Structure and Distribution</w:t>
        <w:br/>
        <w:t>According to the notifier, the markets for the manufacture and marketing of cabin interior components for aircraft are markets where contracts are awarded through competitive bidding processes. Therefore, buyers (especially aircraft manufacturers and airlines) possess strong bargaining power and can switch suppliers whenever a new program is established or a new fleet of aircraft is acquired.</w:t>
        <w:br/>
        <w:t>Through competitive bidding processes, buyers seek to contract with the supplier that provides the most suitable component for their aircraft at the best price. The notifier points out that there is no standard specification, in the sense that the needs of the buyer differ for each type of aircraft (for example, galleys for A320s are different from galleys for B737s).</w:t>
        <w:br/>
        <w:t>Furthermore, the notifier highlights that airlines have different preferences regarding the customization of galleys; that is, the galleys requested by one airline for installation in A320s, for example, are different from those requested by another airline for the same model.</w:t>
        <w:br/>
        <w:t>Finally, the notifier notes that cabin interior components for aircraft are distributed by the manufacturers themselves through their own sales representatives and personnel, and, in some cases, such sales are also made through agents. Therefore, these products are not distributed through third parties.</w:t>
        <w:br/>
        <w:t>V.3.- Pricing</w:t>
        <w:br/>
        <w:t>According to the notifier, prices vary depending on the exact configuration of the products and are calculated based on cost price and market conditions.</w:t>
        <w:br/>
        <w:t>The notifier also indicates that the sale of cabin interior components for aircraft is carried out through tenders in most cases. Customers choose based on price but also based on other factors such as: amounts and amortization of costs, payment terms, penalties for late delivery, etc. Lastly, these components, and particularly galleys, are often custom-made for each type of aircraft and for each type of customer request, making it difficult to compare them in terms of price.</w:t>
        <w:br/>
        <w:t>V.4.- Potential Competition - Barriers to Entry</w:t>
        <w:br/>
        <w:t>According to the notifier, the main barriers to entry in these markets relate to investment in R&amp;D and the approval and certification process to which cabin interior components for aircraft are subject.</w:t>
        <w:br/>
        <w:t>The notifier states that both aircraft manufacturers and regulatory authorities operating in these markets have a certification and approval process for cabin interior components for aircraft. These approval processes aim solely to ensure that these components comply with applicable safety measures in the sector. The notifier emphasizes that these approval and certification processes are easier to meet than those applied to other types of aircraft products because cabin interior components for aircraft are considered "non-sensitive" elements for the operation of the aircraft, unlike other elements such as seats, oxygen systems, avionics equipment, etc., whose approval and certification processes are much more demanding.</w:t>
        <w:br/>
        <w:t>According to the notifier, the main regulatory authorities are the Federal Aviation Administration and the European Aviation Safety Agency.</w:t>
        <w:br/>
        <w:t>The notifier also points out that aircraft manufacturers and airlines require a series of technical specifications for cabin interior components for aircraft that mainly refer to design, weight of the materials for their manufacture, mechanical strength, and, above all, the ability of component manufacturers to adapt to the short timeframes in which these products must be supplied. These requirements can be met through constant efforts in R&amp;D. According to the notifier, for ZODIAC, R&amp;D expenses typically amount to […]% of sales, while for DAG these costs amount to […]% of sales.</w:t>
        <w:br/>
        <w:t>VI. VALUATION OF THE TRANSACTION</w:t>
        <w:br/>
        <w:t>The notified transaction consists of the acquisition by ZODIAC S.A. of exclusive control of DRIESSEN AEROSPACE GROUP N.V.</w:t>
        <w:br/>
        <w:t>The transaction affects the markets for the manufacture and marketing of galleys for large aircraft, trolleys for aircraft, aircraft linings, cargo containers for aircraft, and platforms or cargo pallets for aircraft.</w:t>
        <w:br/>
        <w:t>The notified transaction will not change the supply structure of the last four, as it involves the replacement of one operator by another.</w:t>
        <w:br/>
        <w:t>The only market where overlap occurs is the world market for galleys for large aircraft, although the resulting share is only [10-20]% globally and [20-30]% in Spain, where only the acquired company operates.</w:t>
        <w:br/>
        <w:t>The transaction represents a strengthening of the acquirer's portfolio, which was not present in all markets for the manufacture and marketing of cabin interior components for aircraft, although this portfolio is replicable, as evidenced by the fact that other global operators such as Diethelm or Nordisk are present in more than one of the considered markets.</w:t>
        <w:br/>
        <w:t>Additionally, it should be noted that the sales volume of the acquired company in Spain is slightly above 6 million euros and the total turnover in the various Spanish markets considered did not exceed 20 million euros in 2007.</w:t>
        <w:br/>
        <w:t>Taking into account the considerations presented, it cannot be expected that the transaction will pose a threat to effective competition in the market.</w:t>
      </w:r>
    </w:p>
    <w:p>
      <w:r>
        <w:rPr>
          <w:b/>
        </w:rPr>
        <w:t>[Pages 16–16]</w:t>
      </w:r>
    </w:p>
    <w:p>
      <w:r>
        <w:t>VII. PROPOSAL</w:t>
        <w:br/>
        <w:t>In light of all the above and by virtue of Article 57.1 of Law 15/2007, of July 3, on the Defense of Competition, it is proposed to authorize the concentration, in application of Article 57.2 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