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https://www.cnmc.es/expedientes/c008608</w:t>
      </w:r>
    </w:p>
    <w:p>
      <w:r>
        <w:t>Pages translated : 9</w:t>
      </w:r>
    </w:p>
    <w:p/>
    <w:p>
      <w:r>
        <w:rPr>
          <w:b/>
        </w:rPr>
        <w:t>[Pages 1–3]</w:t>
      </w:r>
    </w:p>
    <w:p>
      <w:r>
        <w:t>NATIONAL COMPETITION COMMISSION RESOLUTION (File C-0086/08, ASTORG/PHOTONIS)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August 19, 2008.</w:t>
      </w:r>
    </w:p>
    <w:p>
      <w:r>
        <w:t>Having reviewed the file processed in accordance with Law 15/2007, of July 3, on the Defense of Competition, regarding the acquisition of exclusive control by ASTORG PARTNERS S.A.S. of PHOTONIS HOLDING (File C/0086/08) and agreeing with the report and proposal submitted by the Investigation Directorate, the Council of the National Competition Commission has resolved, pursuant to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C/0086/08 ASTORG / PHOTONIS</w:t>
      </w:r>
    </w:p>
    <w:p>
      <w:r>
        <w:t>On July 24, 2008, the notification of the concentration operation consisting of the acquisition of exclusive control by FCPR ASTORG IV (ASTORG IV) through ASTORG PARTNERS SAS (ASTORG) of PHOTONIS HOLDING (PHOTONIS) via a Share Purchase Agreement signed on July 17, 2008, was received by this Investigation Directorate. This notification was made by ASTORG in accordance with Article 9 of Law 15/2007, of July 3, on the Defense of Competition, for exceeding the threshold established in Article 8.1.a). This operation is subject to the provisions of Royal Decree 261/2008, of February 22, which approves the Competition Defense Regulation.</w:t>
      </w:r>
    </w:p>
    <w:p>
      <w:r>
        <w:t>Article 57.2.c) of Law 15/2007 establishes that the Council of the National Competition Commission shall issue a resolution in the first phase in which it may decide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control of concentrations will determine the acceptance of the corresponding request by administrative silence, except in the cases provided for in Articles 9.5, 55.5, and 57.2.d) of this Law."</w:t>
      </w:r>
    </w:p>
    <w:p>
      <w:r>
        <w:t>According to the above, the deadline to decide to initiate the second phase of the procedure is August 25, 2008, inclusive. After this date, the notified operation will be considered tacitly authorized.</w:t>
      </w:r>
    </w:p>
    <w:p>
      <w:r>
        <w:t>I. NATURE OF THE OPERATION</w:t>
      </w:r>
    </w:p>
    <w:p>
      <w:r>
        <w:t>The concentration operation consists of the acquisition of exclusive control by ASTORG IV through ASTORG of PHOTONIS via a Share Purchase Agreement signed on July 17, 2008.</w:t>
      </w:r>
    </w:p>
    <w:p>
      <w:r>
        <w:t xml:space="preserve">The projected acquisition will be carried out through the establishment of an acquisition corporate vehicle for these purposes ("HÉLIOS TECH HOLDING"), in the form of a French company with a minimum share capital (of €37,000). Furthermore, certain Managers of the PHOTONIS Group and the ASTORG team ("ASTORG TEAM") will participate alongside ASTORG IV to acquire a minority stake in PHOTONIS, so that HELIOS TECH HOLDING will be constituted by: </w:t>
        <w:br/>
        <w:t xml:space="preserve">- FCPR ASTORG IV, with a […]% </w:t>
        <w:br/>
        <w:t xml:space="preserve">- MR. GOOSSEN BOERS, with a […]% </w:t>
        <w:br/>
        <w:t xml:space="preserve">- MR. BRUNO MANAC'H, with a […]% </w:t>
        <w:br/>
        <w:t xml:space="preserve">- HÉLIOS TECH MANAGEMENT, with a […]% </w:t>
        <w:br/>
        <w:t>- FINANCIÉRE HELLÉBORE IV, with a […]%</w:t>
      </w:r>
    </w:p>
    <w:p>
      <w:r>
        <w:t>Once the operation is completed, HELIOS TECH HOLDING will hold 100% of the shares of PHOTONIS and its subsidiaries. Thus, with this operation, FCPR ASTORG IV will achieve exclusive control of PHOTONIS.</w:t>
      </w:r>
    </w:p>
    <w:p>
      <w:r>
        <w:t>Finally, it should be noted that the execution of the operation is not conditioned upon its authorization by the competition authorities of other EU Member States.</w:t>
      </w:r>
    </w:p>
    <w:p>
      <w:r>
        <w:t>II. ANCILLARY RESTRICTIONS</w:t>
      </w:r>
    </w:p>
    <w:p>
      <w:r>
        <w:t>The Parties have agreed to a Non-Competition Clause (which also includes a non-solicitation clause) for a period [not exceeding three years] from the closing of the operation, affecting the Key Executives for the entire European continent (including Russia) and for China, India, and the United States.</w:t>
      </w:r>
    </w:p>
    <w:p>
      <w:r>
        <w:t>Specifically, this clause establishes first that the key executives may not hold, directly or indirectly, except with the prior written consent of the Buyer, any shares, units in any civil or commercial company, or interest, in any form, in any company whose main business is a Main Activity (understood as the markets for optoelectronic compounds and/or systems for science, industry, security, and defense, including suppliers, consumers, and competitors of PHOTONIS), except for shares in companies listed on a regulated market acquired exclusively for investment and representing less than […]% of the share capital. Secondly, the key executives commit not to hire executives from the PHOTONIS Group for a period of [not exceeding three years]; and finally, the key executives also commit,</w:t>
      </w:r>
    </w:p>
    <w:p>
      <w:r>
        <w:t>ASTORG TEAM will make its investment in HELIOS TECH HOLDING through an instrumental entity created for these purposes ("FINANCIÉRE HELLÉBORE IV").</w:t>
      </w:r>
    </w:p>
    <w:p>
      <w:r>
        <w:t>It is indicated in brackets that information whose exact content has been declared confidential.</w:t>
      </w:r>
    </w:p>
    <w:p>
      <w:r>
        <w:t>President of PHOTONIS.</w:t>
      </w:r>
    </w:p>
    <w:p>
      <w:r>
        <w:t>Chief Financial Officer of PHOTONIS.</w:t>
      </w:r>
    </w:p>
    <w:p>
      <w:r>
        <w:t>Includes the rest of the Managers of the PHOTONIS group.</w:t>
      </w:r>
    </w:p>
    <w:p>
      <w:r>
        <w:t>Includes the Managers of the ASTORG team.</w:t>
      </w:r>
    </w:p>
    <w:p>
      <w:r>
        <w:rPr>
          <w:b/>
        </w:rPr>
        <w:t>[Pages 4–6]</w:t>
      </w:r>
    </w:p>
    <w:p>
      <w:r>
        <w:t>3. NON-COMPETITION AGREEMENT</w:t>
      </w:r>
    </w:p>
    <w:p>
      <w:r>
        <w:t>for a period [not exceeding three years] in the territory of Europe (including Russia), China, India, and the United States of America, to not engage, except with the prior written consent of the Buyer, directly or indirectly, in any Main Activity that would compete with PHOTONIS.</w:t>
      </w:r>
    </w:p>
    <w:p>
      <w:r>
        <w:t>Section 3 of Article 10 of Law 15/2007 states that "certain ancillary restrictions to competition, directly linked to the transaction and necessary for its implementation, may be understood to be included."</w:t>
      </w:r>
    </w:p>
    <w:p>
      <w:r>
        <w:t>Taking into account national and community precedents, as well as the Commission's Notice on restrictions directly related and necessary to concentrations (2005/C 56/03), it is considered that, in the present case, regarding Spain, the content and duration of the non-competition and non-solicitation clauses do not go beyond what is reasonably required by the notified concentration operation, being considered an integral part of it.</w:t>
      </w:r>
    </w:p>
    <w:p>
      <w:r>
        <w:t>III. APPLICABILITY OF LAW 15/2007 ON COMPETITION DEFENSE</w:t>
      </w:r>
    </w:p>
    <w:p>
      <w:r>
        <w:t>According to the notifying party, the operation does not fall within the scope of Regulation (EC) No. 139/2004 of the Council, of January 20, on the control of concentrations between companies.</w:t>
      </w:r>
    </w:p>
    <w:p>
      <w:r>
        <w:t>However, the notified operation meets the requirements set forth by Law 15/2007 for its notification, as it exceeds the threshold established in Article 8.1a) of the same.</w:t>
      </w:r>
    </w:p>
    <w:p>
      <w:r>
        <w:t>Furthermore, the operation complies with the requirements set forth in Article 56.1 for processing as an expedited procedure.</w:t>
      </w:r>
    </w:p>
    <w:p>
      <w:r>
        <w:t>IV. PARTICIPATING COMPANIES</w:t>
      </w:r>
    </w:p>
    <w:p>
      <w:r>
        <w:t>IV.1 ASTORG PARTNERS (“ASTORG”)</w:t>
      </w:r>
    </w:p>
    <w:p>
      <w:r>
        <w:t>ASTORG is a French investment fund management company, which has a management committee composed of partners (individuals) who, through a Board of Directors, manage the company. These 3 partners are not part of any other company active in the relevant market or in other related markets.</w:t>
      </w:r>
    </w:p>
    <w:p>
      <w:r>
        <w:t>ASTORG manages three funds: (i) ASTORG II ([…] million euros), although this fund will not hold shares in the future, (ii) ASTORG III ([…] million euros), which is invested at […]%, and (iii) ASTORG IV, which is invested at […]%.</w:t>
      </w:r>
    </w:p>
    <w:p>
      <w:r>
        <w:t>ASTORG is solely authorized to represent ASTORG IV before third parties. ASTORG IV is a mutual venture capital fund that invests in other companies that are not publicly traded and finances their development and transfer. In this sense, ASTORG IV does not engage in any other activity than acquiring and selling equity interests in other companies.</w:t>
      </w:r>
    </w:p>
    <w:p>
      <w:r>
        <w:t>The turnover of ASTORG IV in the last financial year, according to Art. 5 of R.D. 261/2008, is, according to the notifier, as follows:</w:t>
      </w:r>
    </w:p>
    <w:p>
      <w:r>
        <w:t xml:space="preserve">TURNOVER OF ASTORG IV </w:t>
        <w:br/>
        <w:t xml:space="preserve">(millions of euros) </w:t>
        <w:br/>
        <w:t xml:space="preserve">GLOBAL EUROPEAN UNION SPAIN </w:t>
        <w:br/>
        <w:t xml:space="preserve">[&lt;2500] [&lt;250] [&lt;60] </w:t>
        <w:br/>
        <w:t>Source: Notification</w:t>
      </w:r>
    </w:p>
    <w:p>
      <w:r>
        <w:t>IV.2 PHOTONIS HOLDING (“PHOTONIS”)</w:t>
      </w:r>
    </w:p>
    <w:p>
      <w:r>
        <w:t>PHOTONIS has as its main activity the development, production, and marketing of electronic components for the detection and identification of low-intensity light sources.</w:t>
      </w:r>
    </w:p>
    <w:p>
      <w:r>
        <w:t>PHOTONIS has […] subsidiaries wholly owned, through which it manufactures and sells optical components used for the intensification of low-intensity light sources, and also, as an ancillary activity, power tubes. […]% of its turnover focuses on the night vision segment, primarily aimed at military defense, while the remaining […]% of its turnover is directed towards the science and industry sectors (especially regarding nuclear detectors, research, and internal security) and the medical imaging sector (PET scanners and gamma cameras). In the Spanish market, PHOTONIS operates solely in the night vision sector.</w:t>
      </w:r>
    </w:p>
    <w:p>
      <w:r>
        <w:t>The turnover of PHOTONIS in the last financial year, according to Art. 5 of R.D. 261/2008, is, according to the notifier, as follows:</w:t>
      </w:r>
    </w:p>
    <w:p>
      <w:r>
        <w:t xml:space="preserve">TURNOVER OF PHOTONIS </w:t>
        <w:br/>
        <w:t xml:space="preserve">(millions of euros) </w:t>
        <w:br/>
        <w:t xml:space="preserve">GLOBAL EUROPEAN UNION SPAIN </w:t>
        <w:br/>
        <w:t xml:space="preserve">[&lt;2500] [&lt;250] [&lt;60] </w:t>
        <w:br/>
        <w:t>Source: Notification</w:t>
      </w:r>
    </w:p>
    <w:p>
      <w:r>
        <w:t>V. RELEVANT MARKETS</w:t>
      </w:r>
    </w:p>
    <w:p>
      <w:r>
        <w:t>V.1 Product Market</w:t>
      </w:r>
    </w:p>
    <w:p>
      <w:r>
        <w:t>The Operation affects the photo-detection sector, specifically the night vision sector (NACE code is O84.2.2 – Defense activities).</w:t>
      </w:r>
    </w:p>
    <w:p>
      <w:r>
        <w:t>From the supply perspective, PHOTONIS develops approximately […]% of its turnover in the night vision systems sector, primarily aimed at military defense. The night vision systems sector uses two different technologies: light intensification and infrared. Infrared detects thermal sources, while light intensification technology detects light sources, and therefore, is more precise than the former.</w:t>
      </w:r>
    </w:p>
    <w:p>
      <w:r>
        <w:t>PHOTONIS is active solely and exclusively in the light intensification segment. The main product of PHOTONIS is a night vision tube (IIT tube) that allows separate viewing of night images. This product constitutes the most important element within the manufacturing of night vision optics (binoculars, goggles...) for primarily military use.</w:t>
      </w:r>
    </w:p>
    <w:p>
      <w:r>
        <w:t>From the demand perspective, the products are ordered by the end users of night vision systems, namely, the national Ministries of Defense. Specifically, these orders are subject to public tenders. Therefore, the size of the market may vary depending on the number of public tenders organized, potentially changing the awardee from year to year.</w:t>
      </w:r>
    </w:p>
    <w:p>
      <w:r>
        <w:t>This mechanism produces a certain opacity in the market in question and significantly reduces the usefulness of the market shares held as an indicative criterion of power in the market of the different operators within it. The customers of PHOTONIS, who are indirectly the national Ministries of Defense, have considerable purchasing power, and the national markets present themselves as inverted monopolies (monopsonies or demand monopolies), where there are a small number of operators and a single customer/buyer: the State through its Ministry of Defense.</w:t>
      </w:r>
    </w:p>
    <w:p>
      <w:r>
        <w:t>For the purposes of this operation, and in the absence of both national and community precedents, the definition of the market may be left open, considering both the broad market of night vision systems and the narrow market of light intensification as relevant product markets, to the extent that the operation does not present competition issues regardless of the definition considered.</w:t>
      </w:r>
    </w:p>
    <w:p>
      <w:r>
        <w:t>V.2 Geographic Market</w:t>
      </w:r>
    </w:p>
    <w:p>
      <w:r>
        <w:t xml:space="preserve">Based on previous decisions of the European Commission regarding public tenders, competition between companies: </w:t>
        <w:br/>
        <w:t xml:space="preserve">- operates at a global level when none of the national suppliers are present, provided there are no barriers to import or national security, and </w:t>
        <w:br/>
        <w:t>- is in the process of internationalization when there is one or more national suppliers.</w:t>
      </w:r>
    </w:p>
    <w:p>
      <w:r>
        <w:t>See for example the EC decision No. COMPIM.2079, Raytheon/ThaleslJV, of March 30, 2001, regarding the segment of ground-based air defense systems, airborne operation control systems, battlefield systems, and weapon location radars.</w:t>
      </w:r>
    </w:p>
    <w:p>
      <w:r>
        <w:rPr>
          <w:b/>
        </w:rPr>
        <w:t>[Pages 7–9]</w:t>
      </w:r>
    </w:p>
    <w:p>
      <w:r>
        <w:t>6. NON-COMPETITION AGREEMENT</w:t>
      </w:r>
    </w:p>
    <w:p>
      <w:r>
        <w:t>Despite the increasing internationalization of public tenders for the military, certain countries continue to organize public tenders at the national level. This is the case in countries such as the United States, France, Germany, Italy, and the United Kingdom.</w:t>
      </w:r>
    </w:p>
    <w:p>
      <w:r>
        <w:t>As for countries that do not have any national supplier, such as Spain, public tenders are organized globally, due to the small number of companies capable of supplying complete night vision components and systems.</w:t>
      </w:r>
    </w:p>
    <w:p>
      <w:r>
        <w:t>The notifying party considers that, although it is not necessary in this notification to definitively close the definition of the geographic market given the characteristics of this operation, it should at least encompass the EEA, or even a market of global dimension, in line with the European Commission.</w:t>
      </w:r>
    </w:p>
    <w:p>
      <w:r>
        <w:t>In this operation, it is not necessary to close the definition of the geographic market due to the absence of competition issues regardless of the definition adopted, so the effects of the operation will be analyzed at a global level, across the EEA, and in Spain.</w:t>
      </w:r>
    </w:p>
    <w:p>
      <w:r>
        <w:t>V.3 Conclusion</w:t>
      </w:r>
    </w:p>
    <w:p>
      <w:r>
        <w:t>In light of the above, both the broad market for night vision systems and the narrow market for light intensification are considered affected by this operation, with the definition of the market being left open to the extent that the operation does not present competition issues regardless of the definition considered. The geographic dimension of both markets is at least the EEA, or even of global dimension, which can be left open for the purposes of this concentration operation.</w:t>
      </w:r>
    </w:p>
    <w:p>
      <w:r>
        <w:t>VI. MARKET ANALYSIS</w:t>
      </w:r>
    </w:p>
    <w:p>
      <w:r>
        <w:t>The operation will result in the replacement of one operator by another in the night vision systems sector, specifically in the light intensifiers segment in which the acquired company is present, with ASTORG assuming the leadership position of PHOTONIS in the national light intensification market ([80-90]%). In this market, there is only one other company (the American company ITT) that holds the remaining 15% of the market, maintaining the existing duopoly at the national level for at least the past three years.</w:t>
      </w:r>
    </w:p>
    <w:p>
      <w:r>
        <w:t>According to the notifying party, the market shares for the various affected markets in this operation for the year 2007 were as follows:</w:t>
      </w:r>
    </w:p>
    <w:p>
      <w:r>
        <w:t>(i) Night Vision Systems Market</w:t>
      </w:r>
    </w:p>
    <w:p>
      <w:r>
        <w:t>According to the notifying party, the lack of public data on market shares in the night vision systems sector, along with the fact that PHOTONIS does not operate in the infrared segment in any geographic market, makes access to such information even more difficult in a market characterized by its opacity.</w:t>
      </w:r>
    </w:p>
    <w:p>
      <w:r>
        <w:t>According to the data available to the Parties, it is estimated that PHOTONIS's market shares in the night vision systems segment would be around [0-10]% at the national level (Spain) in 2007, and would fluctuate between [0-10]% in the two previous years (2005 and 2006).</w:t>
      </w:r>
    </w:p>
    <w:p>
      <w:r>
        <w:t>Since PHOTONIS is not active in the infrared segment in any geographic market, the Parties estimate that these market share percentages would be even further reduced at the EU and global levels.</w:t>
      </w:r>
    </w:p>
    <w:p>
      <w:r>
        <w:t>(ii) Light Intensification Market</w:t>
      </w:r>
    </w:p>
    <w:p>
      <w:r>
        <w:t xml:space="preserve">LIGHT INTENSIFICATION MARKET 2007 </w:t>
        <w:br/>
        <w:t xml:space="preserve">Global Operator EEA Spain </w:t>
        <w:br/>
        <w:t xml:space="preserve">Share Share Share </w:t>
        <w:br/>
        <w:t xml:space="preserve">PHOTONIS [60-70]% [60-70]% [80-90]% </w:t>
        <w:br/>
        <w:t xml:space="preserve">ITT &amp; L-3 [10- [20-30]% [20-30]% </w:t>
        <w:br/>
        <w:t xml:space="preserve">COMMUNICATIONS 20]% </w:t>
        <w:br/>
        <w:t xml:space="preserve">Others [0-10]% [0-10]% [0-10]% </w:t>
        <w:br/>
        <w:t xml:space="preserve">TOTAL 100.0% 100.0% 100.0% </w:t>
        <w:br/>
        <w:t>Source: Notifying Party's Estimate</w:t>
      </w:r>
    </w:p>
    <w:p>
      <w:r>
        <w:t>Regarding PHOTONIS's market shares in the light intensifiers segment both at the EU and global levels, the notifying party notes that, due to the prevailing opacity and confidentiality in this market, there are no reports or sources containing public data on this matter. Therefore, the data provided comes from estimates provided by the Parties. Furthermore, it should be noted that these global estimates do not take into account the figures corresponding to the following countries: Russia (due to the fact that the tubes used are not standard), the People's Republic of China (for political reasons), and the United States (due to the fact that it is a market limited almost entirely to national operators).</w:t>
      </w:r>
    </w:p>
    <w:p>
      <w:r>
        <w:t>Although precise data is not available on this matter, the Parties estimate that the different operators, including PHOTONIS - the acquired company - maintain market shares at the EU level very similar to those provided at the global level.</w:t>
      </w:r>
    </w:p>
    <w:p>
      <w:r>
        <w:t>VII. VALUATION OF THE OPERATION</w:t>
      </w:r>
    </w:p>
    <w:p>
      <w:r>
        <w:t>The concentration operation consists of the acquisition of exclusive control by FCPR ASTORG IV through ASTORG PARTNERS SAS of PHOTONIS HOLDING.</w:t>
      </w:r>
    </w:p>
    <w:p>
      <w:r>
        <w:t>PHOTONIS manufactures and markets night vision systems in Spain, specifically light intensification systems, a sector in which ASTORG is not present, thus resulting in no addition of market share.</w:t>
      </w:r>
    </w:p>
    <w:p>
      <w:r>
        <w:t>The operation will result in the replacement of one operator (with a market share of [80-90]% in the national market) by another in the national market, so the structure of the supply will not be modified in any case.</w:t>
      </w:r>
    </w:p>
    <w:p>
      <w:r>
        <w:t>Taking all of the above into account, it cannot be expected that the operation will pose a threat to competition in the relevant markets, so it is susceptible to being approved in the first phase without commitments.</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