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https://www.cnmc.es/expedientes/c009008</w:t>
      </w:r>
    </w:p>
    <w:p>
      <w:r>
        <w:t>Pages translated : 8</w:t>
      </w:r>
    </w:p>
    <w:p/>
    <w:p>
      <w:r>
        <w:rPr>
          <w:b/>
        </w:rPr>
        <w:t>[Pages 1–3]</w:t>
      </w:r>
    </w:p>
    <w:p>
      <w:r>
        <w:t>NATIONAL COMMISSION ON COMPETITION RESOLUTION (File C-0090/08, NMAS 1/MBA Group) COUNCIL D. Luis Berenguer Fuster, President D. Fernando Torremocha García-Sáenz, Vice President D. Emilio Conde Fernández-Oliva, Councilor D. Miguel Cuerdo Mir, Councilor Dª Pilar Sánchez Núñez, Councilor D. Julio Costas Comesaña, Councilor Dª Mª Jesús González López, Councilor Dª Inmaculada Gutiérrez Carrizo, Councilor In Madrid, on August 19, 2008.</w:t>
      </w:r>
    </w:p>
    <w:p>
      <w:r>
        <w:t>Having reviewed the file processed in accordance with Law 15/2007, of July 3, on the Defense of Competition, regarding the acquisition of exclusive control by NMAS1 Private Equity, Venture Capital Management Company, S.A. over the companies that make up the MBA Group (File C/0090/08) and agreeing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COMMISSION DIRECTORATE OF COMPETITION INVESTIGATION REPORT AND PROPOSAL FOR RESOLUTION FILE C/0090/08 NMAS 1 / MBA Group</w:t>
      </w:r>
    </w:p>
    <w:p>
      <w:r>
        <w:t>On August 4, 2008, the National Competition Commission (CNC) received a notification regarding the economic concentration operation consisting of the acquisition of exclusive control by NMAS1 Private Equity, Venture Capital Management Company, S.A. (NMAS1 SGECR) over the companies comprising the MBA Group, which are engaged in the distribution and sale of orthopedic and trauma surgery products and other medical-health products. This notification has been made by NMAS1 SGECR in accordance with Article 9 of Law 15/2007, of July 3, on the Defense of Competition (LDC) for exceeding the sales volume threshold established in Article 8.1 b) of the aforementioned regulation. This operation is subject to the provisions of Royal Decree 261/2008, of February 22, which approves the Regulation on the Defense of Competition.</w:t>
      </w:r>
    </w:p>
    <w:p>
      <w:r>
        <w:t>Article 57.2.c) of Law 15/2007 establishes that the CNC Council shall issue a resolution in the first phase in which it may decide to initiate the second phase of the procedure when it considers that the concentration may hinder the maintenance of effective competition in all or part of the national market. Furthermore, Article 38.2 of Law 15/2007 adds: "The expiration of the maximum period established in Article 36.2.a) of this Law for the resolution in the first phase of control of concentrations will determine the acceptance of the corresponding application by administrative silence, except in the cases provided for in Articles 9.5, 55.5, and 57.2.d) of this Law."</w:t>
      </w:r>
    </w:p>
    <w:p>
      <w:r>
        <w:t>According to the above, the deadline to decide to initiate the second phase of the procedure is September 4, 2008, inclusive. After this date, the notified operation will be considered tacitly authorized.</w:t>
      </w:r>
    </w:p>
    <w:p>
      <w:r>
        <w:t>I. NATURE OF THE OPERATION</w:t>
      </w:r>
    </w:p>
    <w:p>
      <w:r>
        <w:t>The notified concentration operation consists of the acquisition of exclusive control by Nmás1 SGEC over the companies that make up the MBA Group. The operation will be implemented through the establishment of a new company that will hold the entire shareholding of the MBA Group companies. Nmás1 SGEC will acquire the […]1% of said shareholding, while the […]% remaining will remain in the hands of the current executives of the MBA Group.</w:t>
      </w:r>
    </w:p>
    <w:p>
      <w:r>
        <w:t>The terms of the transaction are set forth in the purchase agreements dated […] signed, on one hand, between Nmás1 SGEC and the shareholders of MBA INCORPORADO, S.A. and, on the other, between MBA INCORPORADO and the shareholders of MBA CENTRO, S.A. According to these contracts, the acquisitions of all the companies that make up the MBA Group are interlinked, such that none could be carried out without the others.</w:t>
      </w:r>
    </w:p>
    <w:p>
      <w:r>
        <w:t>The operation will not be notified in any other country.</w:t>
      </w:r>
    </w:p>
    <w:p>
      <w:r>
        <w:t>II. APPLICABILITY OF LAW 15/2007 ON THE DEFENSE OF COMPETITION</w:t>
      </w:r>
    </w:p>
    <w:p>
      <w:r>
        <w:t>According to the notifying party, the operation does not fall within the scope of Council Regulation (EC) No 139/2004 of January 20, on the control of concentrations between undertakings, as it does not exceed the thresholds of Article 1, paragraphs 2 and 3 thereof.</w:t>
      </w:r>
    </w:p>
    <w:p>
      <w:r>
        <w:t>The notified operation, however, meets the requirements established by Law 15/2007 for its notification, as it exceeds the threshold set in Article 8.1.b) thereof (turnover).</w:t>
      </w:r>
    </w:p>
    <w:p>
      <w:r>
        <w:t>The operation complies with the requirements set forth in Article 56.1.a) of the LDC for processing as a simplified procedure, as there is no horizontal or vertical overlap between the parties.</w:t>
      </w:r>
    </w:p>
    <w:p>
      <w:r>
        <w:t>III. ACCESSORY RESTRICTIONS</w:t>
      </w:r>
    </w:p>
    <w:p>
      <w:r>
        <w:t>III.1. Non-competition, non-solicitation, and confidentiality clause</w:t>
      </w:r>
    </w:p>
    <w:p>
      <w:r>
        <w:t>The contracts signed between the parties include non-competition clauses whereby "the Sellers Subject to Non-Competition" (which include […]) undertake for a period of […not exceeding three years] to: (i) not develop, directly or indirectly, any activity in any of the sectors in which the acquired group conducts its business; (ii) not hire, directly or indirectly, personnel, collaborators, clients, or suppliers of the acquired group; (iii) not use records or names, trademarks, or any other industrial property rights used by the acquired group; and (iv) not transfer or disclose to third parties knowledge or confidential information related to the business of the acquired group.</w:t>
      </w:r>
    </w:p>
    <w:p>
      <w:r>
        <w:t>Section 3 of Article 10 of Law 15/2007 establishes that "certain accessory restrictions on competition, directly linked to the operation and necessary for its execution, may be understood to be included."</w:t>
      </w:r>
    </w:p>
    <w:p>
      <w:r>
        <w:t>Taking into account national and community precedents, as well as the Commission's Communication on restrictions directly related and necessary for concentration operations (2005/C56/03), it is considered that in this case the nature of the restrictions is aimed at "protecting the transferred value" and therefore their content and duration do not go beyond what is reasonably required by the notified concentration operation, being thus considered, therefore, 2.</w:t>
      </w:r>
    </w:p>
    <w:p>
      <w:r>
        <w:rPr>
          <w:b/>
        </w:rPr>
        <w:t>[Pages 4–6]</w:t>
      </w:r>
    </w:p>
    <w:p>
      <w:r>
        <w:t>as an integral part of the operation.</w:t>
      </w:r>
    </w:p>
    <w:p>
      <w:r>
        <w:t>IV. PARTICIPATING COMPANIES</w:t>
      </w:r>
    </w:p>
    <w:p>
      <w:r>
        <w:t>IV.1. NMAS 1 SOCIEDAD GESTORA DE ENTIDADES DE CAPITAL RIESGO, S.A. (NMAS 1 SGECR)</w:t>
      </w:r>
    </w:p>
    <w:p>
      <w:r>
        <w:t>NMAS 1 SGECR is the management company of the entities that make up the NMAS 1 investment group. These entities are: […]. The parent company of the acquiring Group is […].</w:t>
      </w:r>
    </w:p>
    <w:p>
      <w:r>
        <w:t>The NMAS1 Group develops a wide range of services related to the administration and management of venture capital funds, investments and assets of venture capital companies, and business, financial, and consulting advice.</w:t>
      </w:r>
    </w:p>
    <w:p>
      <w:r>
        <w:t>None of the funds managed by entities of the Nmás1 Group nor their portfolio companies hold any participation in companies active in the markets in which the acquired group operates or in any other related to the biosanitary sector.</w:t>
      </w:r>
    </w:p>
    <w:p>
      <w:r>
        <w:t>The turnover of the NMAS1 Group in Spain, according to Article 5 of Royal Decree 261/2008, was, in the previous fiscal year, according to the notifying party, [&gt;60] million euros.</w:t>
      </w:r>
    </w:p>
    <w:p>
      <w:r>
        <w:t>IV.2. MBA GROUP</w:t>
      </w:r>
    </w:p>
    <w:p>
      <w:r>
        <w:t>The acquired Group is formed by the companies MBA INCORPORADO, S.A., MBA CENTRO, S.A. and nineteen commercial delegations. The shareholders of MBA INCORPORADO S.A. and MBA CENTRO S.A. are individuals. Each of these companies owns […].</w:t>
      </w:r>
    </w:p>
    <w:p>
      <w:r>
        <w:t>The main activities carried out by the MBA Group are related to the purchase, intragroup distribution, and marketing of its products, which are grouped into two lines of business:</w:t>
        <w:br/>
        <w:t>• Orthopedic and trauma surgery products (“COT”): this is the main business of the group, which encompasses the distribution and sale of these products (mainly for spine, fixation, knee, hip, and biological) in Spain, […]. The company MBA Incorporado S.A. represents the main headquarters and acts as the purchasing center for all the commercial delegations of the Group in Spain and abroad ([…]).</w:t>
        <w:br/>
        <w:t>• “Bioser” products: it is less engaged in the distribution and sale of non-trauma products (anesthesiology, general surgery, cardiac, vascular, and urology products). The group company dedicated to this line of business is BIOSER, S.A., along with […] commercial delegations.</w:t>
      </w:r>
    </w:p>
    <w:p>
      <w:r>
        <w:t>The turnover in Spain of the MBA Group, defined according to Article 5 of Royal Decree 261/2008, was in the previous fiscal year, according to the notifying party, [&gt;60] million euros.</w:t>
      </w:r>
    </w:p>
    <w:p>
      <w:r>
        <w:t>V. RELEVANT MARKETS AND MARKET SHARES</w:t>
      </w:r>
    </w:p>
    <w:p>
      <w:r>
        <w:t>V.1 Product Market</w:t>
      </w:r>
    </w:p>
    <w:p>
      <w:r>
        <w:t>Considering the activity of the MBA Group and in accordance with existing community and national precedents, the notifying party considers the existence of the following differentiated product groups in the context of the notified operation:</w:t>
        <w:br/>
        <w:t>1.- “COT” products (orthopedic and trauma surgery): the MBA Group distributes various types of orthopedic materials for surgical implants of an osteoarticular nature (bones and joints), which are implanted for therapeutic purposes. Within this group, at least four other categories of products can be differentiated:</w:t>
        <w:br/>
        <w:t>• Non-reconstructive products for spine treatment (“Columna”). The MBA Group markets various types of products intended for disorders of the spine (mainly: universal spine system SYNERGY; telescopic thoracolumbar spacer-plate TPS-TL; anterior cervical plate system C-TEK; cervical intersomatic system WING CAGE and vertebroplasty system CDO-LP2).</w:t>
        <w:br/>
        <w:t>• Reconstructive products: these are implants used for joints, among which different groups of products can be distinguished based on the affected body part. The notifying party has differentiated three main groups: (i) Hip, (ii) Knee (which constitute the two largest segments of this category, representing 24% and 30% of the distribution of the total Spanish market for orthopedic and trauma surgery/COT in 2007, respectively) and (iii) “Other reconstructive products” (which would include implants for hand, elbow, wrist, and shoulder).</w:t>
        <w:br/>
        <w:t>• Trauma or fixation products (“Fijación”): these are devices intended for the treatment of fractures that are used to rejoin and stabilize damaged bones and tissues.</w:t>
        <w:br/>
        <w:t>• Bone substitutes (or “biological products”): these are used as alternatives to human bone in transplants and bone repairs.</w:t>
      </w:r>
    </w:p>
    <w:p>
      <w:r>
        <w:t>2.- Non-trauma products (anesthesiology, general surgery, cardiac, vascular, and urology products). This group includes the following types of products distributed by the BIOSER line: collagen hemostatics; dermal substitutes; systems for obtaining and applying autologous fibrin; artificial reinforcement meshes; mechanical systems for the prophylaxis of deep vein thrombosis; patient monitoring devices; intraosseous vascular access devices and laryngeal masks. In the opinion of the notifying party, the relatively minor importance of this group of products within the MBA Group, as well as their range and low absolute price, would allow them to be grouped into a single category of products.</w:t>
      </w:r>
    </w:p>
    <w:p>
      <w:r>
        <w:t>Taking into account the cited national and community precedents, narrower segments could be considered within each of the product groups identified by the notifying party. However, given the nature of the analyzed operation, it is not deemed necessary to narrow the definitions of the proposed markets as the assessment would not vary in any of the possible cases.</w:t>
      </w:r>
    </w:p>
    <w:p>
      <w:r>
        <w:t>In line with the above, the impact of the operation will be analyzed in the following product categories: non-reconstructive COT products for (i) spine; reconstructive COT products for (ii) hip, (iii) knee, and (iv) other reconstructive products; (v) fixation products; (vi) biological products; and (vii) non-trauma products.</w:t>
      </w:r>
    </w:p>
    <w:p>
      <w:r>
        <w:t>V.2 Geographic Market</w:t>
      </w:r>
    </w:p>
    <w:p>
      <w:r>
        <w:t>According to the cited national and community precedents, the markets in question are of European dimension mainly due to the following reasons: the differences in market shares and existing prices in each Member State; the need for technical assistance from suppliers to doctors and hospitals; and the differences between public reimbursement systems in the various countries of the European Union.</w:t>
      </w:r>
    </w:p>
    <w:p>
      <w:r>
        <w:t>VI. MARKET ANALYSIS</w:t>
      </w:r>
    </w:p>
    <w:p>
      <w:r>
        <w:t>VI.1. Supply Structure</w:t>
      </w:r>
    </w:p>
    <w:p>
      <w:r>
        <w:t>According to the notifying party, the total market volume in Spain in 2007 amounted to […] million euros (of which […] corresponds to spine treatments; […] to knee; […] to hip; […] to fixation; […] to biological products; and […] million to “other reconstructive products”).</w:t>
      </w:r>
    </w:p>
    <w:p>
      <w:r>
        <w:t>The notifying party's estimate of the market shares corresponding to the MBA Group and its main competitors is reflected in the following table:</w:t>
      </w:r>
    </w:p>
    <w:p>
      <w:r>
        <w:rPr>
          <w:b/>
        </w:rPr>
        <w:t>[Pages 7–8]</w:t>
      </w:r>
    </w:p>
    <w:p>
      <w:r>
        <w:t>SPANISH TEXT:</w:t>
        <w:br/>
        <w:t>MERCADO ESPAÑOL DE PRODUCTOS DE CIRUGIA ORTOPEDICA Y TRAUMATOLOGICA (COT) (Cuotas en % estimadas por valor) (Año 2007) Empresa Columna Cadera Rodilla Fijación total Grupo MBA [10-20] [10-20] [10-20] [10-20] [10-20] STYKER – HOWMEDICA [0-10] [10-20] [10-20] [10-20] [10-20] JOHNSON &amp; JOHNSON –DEPUY [20-30] [10-20] [20-30] n.d. [10-20] ZIMMER – CENTERPULSE [10-20] [20-30] [30-40] [0-10] [20-30] BIOMET – MERCK – EPI n.d. [0-10] [0-10] [0-10] [0-10] SMITH &amp; NEPHEW n.d. [0-10] [0-10] n.d. [0-10] SYNTHES – STRATEC [10-20] n.d. n.d. [30-40] [0-10] MEDTRONIC – SOFAMOR - DANEK [20-30] n.d. n.d. n.d. [0-10] OTROS [0-10] [10-20] [0-10] [20-30] [10-20] TOTAL 100 100 100 100 100 Fuente: Notificación La notificante no ha facilitado datos de competidores en relación con “otros productos reconstructivos” y “productos biológicos”, siendo las cuotas de mercado del Grupo MBA del [10-20]% (con una facturación total de […] millones de euros) y [10-20]% (con una facturación de […] millones de euros), respectivamente. Por lo que respecta a la línea de productos no traumatológicos (BIOSER), la cuota del Grupo MBA estimada por la notificante en el conjunto de estos productos fue de [0-10]%. Considerando los segmentos posibles, la cuota de la adquirida no superó en ninguno de ellos el [0-10]%, a excepción de los sistemas mecánicos de profilaxis de trombosis venosa profunda (Bomba AVI), con un [10-20]% de cuota y las mascarillas laríngeas ([20-30]% de cuota). VII. VALORACIÓN DE LA OPERACIÓN La presente operación consiste en la adquisición por la sociedad Nmás1 SGEC de las empresas que integran el grupo MBA. Como consecuencia de la operación de concentración notificada no se producirán modificaciones en la estructura competitiva de los mercados relevantes, al no estar el grupo adquirente presente en ninguno de ellos. Las cuotas adquiridas del Grupo MBA no superan el [20-30]% en ninguno de los mercados analizados. Teniendo en cuenta las consideraciones expuestas, no cabe esperar que la operación notificada suponga una amenaza para la competencia efectiva en los mercados analizados. VII. PROPUESTA En atención a todo lo anterior y en virtud del artículo 57.1 de la Ley 15/2007, de 3 de julio de Defensa de la Competencia se propone autorizar la concentración, en aplicación del artículo 57.2.a) de la Ley 15/2007, de 3 de julio, de Defensa de la Competencia.</w:t>
      </w:r>
    </w:p>
    <w:p>
      <w:r>
        <w:t>ENGLISH TRANSLATION:</w:t>
        <w:br/>
        <w:t>SPANISH MARKET FOR ORTHOPEDIC AND TRAUMA SURGERY PRODUCTS (COT) (Estimated market shares in % by value) (Year 2007) Company Column Hip Knee Total fixation MBA Group [10-20] [10-20] [10-20] [10-20] [10-20] STYKER – HOWMEDICA [0-10] [10-20] [10-20] [10-20] [10-20] JOHNSON &amp; JOHNSON – DEPUY [20-30] [10-20] [20-30] n.d. [10-20] ZIMMER – CENTERPULSE [10-20] [20-30] [30-40] [0-10] [20-30] BIOMET – MERCK – EPI n.d. [0-10] [0-10] [0-10] [0-10] SMITH &amp; NEPHEW n.d. [0-10] [0-10] n.d. [0-10] SYNTHES – STRATEC [10-20] n.d. n.d. [30-40] [0-10] MEDTRONIC – SOFAMOR - DANEK [20-30] n.d. n.d. n.d. [0-10] OTHERS [0-10] [10-20] [0-10] [20-30] [10-20] TOTAL 100 100 100 100 100 Source: Notification The notifying party has not provided competitor data regarding “other reconstructive products” and “biological products,” with the market shares of the MBA Group being [10-20]% (with total sales of […] million euros) and [10-20]% (with sales of […] million euros), respectively. Regarding the line of non-trauma products (BIOSER), the share of the MBA Group estimated by the notifying party across these products was [0-10]%. Considering the possible segments, the acquired share did not exceed [0-10]% in any of them, except for the mechanical systems for prophylaxis of deep vein thrombosis (AVI Pump), with a [10-20]% share and the laryngeal masks ([20-30]% share). VII. VALUATION OF THE OPERATION The present operation consists of the acquisition by Nmás1 SGEC of the companies that make up the MBA group. As a result of the notified concentration operation, there will be no changes in the competitive structure of the relevant markets, as the acquiring group is not present in any of them. The acquired shares of the MBA Group do not exceed [20-30]% in any of the analyzed markets. Taking into account the considerations presented, it cannot be expected that the notified operation poses a threat to effective competition in the analyzed markets. VII. PROPOSAL 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