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https://www.cnmc.es/expedientes/c010108</w:t>
      </w:r>
    </w:p>
    <w:p>
      <w:r>
        <w:t>Pages translated : 9</w:t>
      </w:r>
    </w:p>
    <w:p/>
    <w:p>
      <w:r>
        <w:rPr>
          <w:b/>
        </w:rPr>
        <w:t>[Pages 1–3]</w:t>
      </w:r>
    </w:p>
    <w:p>
      <w:r>
        <w:t>NATIONAL COMPETITION COMMISSION RESOLUTION (File C-0101/08, FCC/CAJAMADRID/TRANVÍA PARLA) COUNCIL D. Luis Berenguer Fuster, President D. Miguel Cuerdo Mir, Councillor Dª Pilar Sánchez Núñez, Councillor D. Julio Costas Comesaña, Councillor Dª Mª Jesús González López, Councillor Dª Inmaculada Gutiérrez Carrizo, Councillor In Madrid, on October 8, 2008.</w:t>
      </w:r>
    </w:p>
    <w:p>
      <w:r>
        <w:t>Having reviewed the file processed in accordance with Law 15/2007, of July 3, on the Defense of Competition, regarding the acquisition by FCC Construcciones S.A. and Corporación Financiera Caja de Madrid S.A. of joint control of Tranvía de Parla S.A. (File C/0101/08) and agreeing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C/0101/08 FCC / CAJAMADRID / TRANVÍA PARLA</w:t>
      </w:r>
    </w:p>
    <w:p>
      <w:r>
        <w:t>On September 15, 2008, a notification regarding the concentration operation consisting of the acquisition by FCC Construcciones S.A. (hereinafter "FCC") and Corporación Financiera Caja de Madrid S.A. (hereinafter "CAJAMADRID") of joint control of Tranvía de Parla, S.A. (hereinafter "TRANVÍA PARLA") was received by this Investigation Directorate.</w:t>
      </w:r>
    </w:p>
    <w:p>
      <w:r>
        <w:t>This notification has been made by FCC and CAJAMADRID, as established in Article 9.4 of Law 15/2007, of July 3, on the Defense of Competition, for exceeding the threshold established in Article 8.1.b). This operation is subject to the provisions of Royal Decree 261/2008, of February 22, which approves the Regulation on the Defense of Competition.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r>
    </w:p>
    <w:p>
      <w:r>
        <w:t>In exercise of the provisions of Articles 37.2.b) and 55.4 of Law 15/2007, the Investigation Directorate requested from the notifiers on September 18, 2008, information necessary for the resolution of the file. The requested information was partially completed on September 22, 2008, and fully completed on September 25, 2008.</w:t>
      </w:r>
    </w:p>
    <w:p>
      <w:r>
        <w:t>According to the above, the deadline to agree to initiate the second phase of the procedure is October 22, 2008, inclusive. After this date, the notified operation will be considered tacitly authorized.</w:t>
      </w:r>
    </w:p>
    <w:p>
      <w:r>
        <w:t>I. NATURE OF THE OPERATION</w:t>
      </w:r>
    </w:p>
    <w:p>
      <w:r>
        <w:t>The notified operation consists of the acquisition by FCC and CAJAMADRID of joint control of TRANVÍA PARLA.</w:t>
      </w:r>
    </w:p>
    <w:p>
      <w:r>
        <w:t>However, the notifiers initially notified the acquisition by FCC and CAJAMADRID of joint control of Ruta de los Pantanos, S.A. and TRANVÍA PARLA.</w:t>
      </w:r>
    </w:p>
    <w:p>
      <w:r>
        <w:t>The notified concentration operation is implemented through a purchase agreement dated September 2, 2008, signed by FCC and CAJAMADRID as buyers, and Acciona S.A., Acciona Concesiones S.A., and Acciona Infraestructuras S.A. (hereinafter ACCIONA) as sellers, whereby CAJAMADRID acquires from ACCIONA a 42.5% stake in the share capital of TRANVÍA PARLA.</w:t>
      </w:r>
    </w:p>
    <w:p>
      <w:r>
        <w:t xml:space="preserve">This purchase agreement also includes the purchase from ACCIONA of its stakes in other concessionary infrastructure companies: </w:t>
        <w:br/>
        <w:t xml:space="preserve">⎯ 33.3% (16.6% by FCC and 16.6% by CAJAMADRID) of Concesiones de Madrid S.A. (CONCESIONES MADRID), a company in which FCC and CAJAMADRID already held 33.3% of the share capital each. </w:t>
        <w:br/>
        <w:t xml:space="preserve">⎯ 12.2% (by FCC) of Transportes Ferroviarios de Madrid S.A. (TRANSPORTES FERROVIARIOS), a company in which FCC and CAJAMADRID already held 12.2% and 25% of the share capital respectively. </w:t>
        <w:br/>
        <w:t xml:space="preserve">⎯ 40% (by CAJAMADRID) of Túnel d’Envalira, S.A. (TÚNEL ENVALIRA), a company in which FCC already held 40% of the share capital. </w:t>
        <w:br/>
        <w:t>⎯ 12.5% (by FCC) of Ruta de los Pantanos, S.A. (RUTA PANTANOS), a company in which FCC and CAJAMADRID already held 25% of the share capital each.</w:t>
      </w:r>
    </w:p>
    <w:p>
      <w:r>
        <w:t>Additionally, it is necessary to take into account that FCC and CAJAMADRID have a joint venture, GLOBAL VÍA INFRAESTRUCTURAS, S.A. (GVI), equally owned by each, which was created in January 2007, with the purpose of jointly exploiting the concession infrastructure of the parent companies.</w:t>
      </w:r>
    </w:p>
    <w:p>
      <w:r>
        <w:t>In the shareholders' agreement of January 29, 2007, which gave rise to GVI, it is provided that FCC and CAJAMADRID shall transfer their stakes in concessionary infrastructure companies to GVI. Additionally, it is expressly stated in this agreement that: "From the Date of Formalization and until the integration of each of the Assets into the New Company [GVI], they shall be managed by this company as if they had been integrated into it from that date."</w:t>
      </w:r>
    </w:p>
    <w:p>
      <w:r>
        <w:t>On the other hand, in the purchase agreement of September 2, 2008, it is provided that the stakes acquired from ACCIONA shall ultimately be integrated into GVI and may be acquired by the buyers directly for themselves, by GVI, or by any other entity or entities of their respective Groups.</w:t>
      </w:r>
    </w:p>
    <w:p>
      <w:r>
        <w:t xml:space="preserve">In view of the available information, and to the extent that GVI is a joint venture with full functions, it can be concluded regarding the various acquisitions of stakes from ACCIONA: </w:t>
        <w:br/>
        <w:t xml:space="preserve">⎯ That the acquisition of 42.5% of TRANVÍA PARLA results in the acquisition by </w:t>
        <w:br/>
        <w:t xml:space="preserve">1 Company in which FCC already held 32.5% of the share capital. </w:t>
        <w:br/>
        <w:t xml:space="preserve">2 This concentration operation that created GVI was expressly authorized within the framework of file N-06125 FCC/CAJA MADRID. </w:t>
        <w:br/>
        <w:t>3 Among these stakes, those held by FCC and CAJAMADRID as of January 2007 in RUTA PANTANOS, TRANVÍA PARLA, CONCESIONES MADRID, TRANSPORTES FERROVIARIOS, and TUNEL ENVALIRA are expressly included.</w:t>
      </w:r>
    </w:p>
    <w:p>
      <w:r>
        <w:rPr>
          <w:b/>
        </w:rPr>
        <w:t>[Pages 4–6]</w:t>
      </w:r>
    </w:p>
    <w:p>
      <w:r>
        <w:t>FCC and CAJAMADRID, through GVI, of the joint control of this company in accordance with the provisions of Article 7.1.c) of Law 15/2007, by holding 75% of its share capital.</w:t>
      </w:r>
    </w:p>
    <w:p>
      <w:r>
        <w:t>⎯ That the acquisition of 33.3% of CONCESIONES MADRID does not constitute a concentration operation in accordance with the provisions of Article 7.1.c) of Law 15/2007, insofar as FCC and CAJAMADRID already had, through GVI, joint control of CONCESIONES MADRID, having a veto right over all its strategic decisions, derived from their prior participation of 66.6% of the share capital. Therefore, as a result of the notified operation, there is no stable modification in the control structure of CONCESIONES MADRID.</w:t>
      </w:r>
    </w:p>
    <w:p>
      <w:r>
        <w:t>⎯ That the acquisition of 12.2% of TRANSPORTES FERROVIARIOS does not constitute a concentration operation in accordance with the provisions of Article 7.1.c) of Law 15/2007, insofar as FCC and CAJAMADRID will not jointly, in principle, have a veto right over its strategic decisions, as they will only hold 49.4% of the share capital, and according to the information provided by the notifiers, no qualified majorities are required for the approval of strategic decisions of this company. Therefore, as a result of the notified operation, there is no stable modification in the control structure of TRANSPORTES FERROVIARIOS.</w:t>
      </w:r>
    </w:p>
    <w:p>
      <w:r>
        <w:t>⎯ That the acquisition of 40% of TUNEL ENVALIRA results in the acquisition by FCC and CAJAMADRID, through GVI, of joint control of this company in accordance with the provisions of Article 7.1.c) of Law 15/2007, by holding 80% of its share capital. However, to the extent that the infrastructure controlled by this company is outside of Spain, in Andorra, this concentration operation will not be examined for the purposes of this notification.</w:t>
      </w:r>
    </w:p>
    <w:p>
      <w:r>
        <w:t>⎯ That the acquisition of 25% of RUTA PANTANOS does not constitute a concentration operation in accordance with the provisions of Article 7.1.c) of Law 15/2007 because prior to the notified operation, the notifiers already held 50% of the share capital of RUTA PANTANOS, a participation that granted them a veto right over the strategic decisions of that company, in accordance with the provisions established in the partnership agreement that led to GVI. Therefore, as a result of the notified operation, there is no stable modification in the control structure of RUTA PANTANOS.</w:t>
      </w:r>
    </w:p>
    <w:p>
      <w:r>
        <w:t>Finally, it should be noted that the execution of the notified operation is conditioned upon the authorization of the operation by the competition authorities of Spain.</w:t>
      </w:r>
    </w:p>
    <w:p>
      <w:r>
        <w:t>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thresholds of its Article 1.</w:t>
      </w:r>
    </w:p>
    <w:p>
      <w:r>
        <w:t>The notified operation, however, meets the requirements set forth by Law 15/2007 for its notification, as the threshold established in Article 8.1.b) of the same is exceeded.</w:t>
      </w:r>
    </w:p>
    <w:p>
      <w:r>
        <w:t>Furthermore, the operation complies with the requirements set forth in Article 56.1.b) of the aforementioned Law 15/2007 for its processing as an expedited procedure.</w:t>
      </w:r>
    </w:p>
    <w:p>
      <w:r>
        <w:t>III. PARTICIPATING COMPANIES</w:t>
      </w:r>
    </w:p>
    <w:p>
      <w:r>
        <w:t>III.1. FCC CONSTRUCCIÓN, S.A. (FCC)</w:t>
      </w:r>
    </w:p>
    <w:p>
      <w:r>
        <w:t>FCC is a company active in civil works, residential and non-residential building, housing rehabilitation, and other activities related to the construction sector and related services, such as engineering, concessions, and maintenance and management of infrastructures.</w:t>
      </w:r>
    </w:p>
    <w:p>
      <w:r>
        <w:t>FCC is controlled by Fomento de Construcciones y Contratas, S.A., which is publicly traded and is the parent company of the FCC Group, which is active in the construction and services sector. According to the notifier, the FCC Group is ultimately controlled by Ms. Esther Koplowitz.</w:t>
      </w:r>
    </w:p>
    <w:p>
      <w:r>
        <w:t>Aside from the activities carried out by FCC, the FCC Group is also active in the collection and treatment of solid waste, cleaning of public roads, water supply to populations, maintenance of drinking water and wastewater treatment plants, cement manufacturing, real estate promotion, operation of parking lots, urban furniture, passenger transport, technical inspection of vehicles, handling at airports, and logistics services.</w:t>
      </w:r>
    </w:p>
    <w:p>
      <w:r>
        <w:t>The turnover of the FCC Group in the last financial year, in accordance with Article 5 of Royal Decree 261/2008, is, according to the notifier, as follows:</w:t>
      </w:r>
    </w:p>
    <w:p>
      <w:r>
        <w:t>TURNOVER OF THE FCC GROUP IN THE 2007 FINANCIAL YEAR (Millions of euros)</w:t>
        <w:br/>
        <w:t>WORLDWIDE EU SPAIN</w:t>
        <w:br/>
        <w:t>[&gt;5,000] [&gt;250] [&gt;60]</w:t>
        <w:br/>
        <w:t>Source: Notification</w:t>
      </w:r>
    </w:p>
    <w:p>
      <w:r>
        <w:t>III.2 CORPORACIÓN FINANCIERA CAJA DE MADRID, S.A. (CAJAMADRID)</w:t>
      </w:r>
    </w:p>
    <w:p>
      <w:r>
        <w:t>CAJAMADRID focuses its activity on the holding of securities, the administration and financial advice of said group, and is a 100% subsidiary of Caja de Ahorros y Monte de Piedad de Madrid.</w:t>
      </w:r>
    </w:p>
    <w:p>
      <w:r>
        <w:t>Currently, the holder of CAJAMADRID's shares in concessionary companies is the company SOCIEDAD DE PROMOCIÓN Y PARTICIPACIÓN EMPRESARIAL CAJA DE MADRID, S.A. (SPPE).</w:t>
      </w:r>
    </w:p>
    <w:p>
      <w:r>
        <w:t>The turnover of the CAJA MADRID Group of companies in the last financial year, in accordance with Article 5 of Royal Decree 261/2008, is, according to the notifier, as follows:</w:t>
      </w:r>
    </w:p>
    <w:p>
      <w:r>
        <w:t>TURNOVER OF THE CAJA MADRID GROUP IN THE 2007 FINANCIAL YEAR (Millions of euros)</w:t>
        <w:br/>
        <w:t>WORLDWIDE EU SPAIN</w:t>
        <w:br/>
        <w:t>[&gt;5,000] [&gt;250] [&gt;60]</w:t>
        <w:br/>
        <w:t>Source: Notification</w:t>
      </w:r>
    </w:p>
    <w:p>
      <w:r>
        <w:t>III.3 TRANVÍA DE PARLA, S.A. (TRANVÍA PARLA)</w:t>
      </w:r>
    </w:p>
    <w:p>
      <w:r>
        <w:t>TRANVÍA PARLA is the company responsible for the project of construction, operation, maintenance, acquisition, and supply of rolling stock for the 8.5 km of double track of the tramway in the city of Parla, for which it holds the concession for a period of 40 years.</w:t>
      </w:r>
    </w:p>
    <w:p>
      <w:r>
        <w:t>Currently, the share capital of TRANVÍA PARLA is distributed as follows: 42.5% ACCIONA, 32.5% FCC, 10% DETREN COMPAÑÍA GENERAL DE SERVICIOS FERROVIARIOS S.L., and 15% CAJA CASTILLA LA MANCHA CORPORACIÓN, S.A.</w:t>
      </w:r>
    </w:p>
    <w:p>
      <w:r>
        <w:t>The turnover of TRANVÍA PARLA in the last financial year, in accordance with Article 5 of Royal Decree 261/2008, is, according to the notifier, as follows:</w:t>
      </w:r>
    </w:p>
    <w:p>
      <w:r>
        <w:t>TURNOVER OF TRANVÍA PARLA IN THE 2007 FINANCIAL YEAR (Millions of euros)</w:t>
        <w:br/>
        <w:t>WORLDWIDE EU SPAIN</w:t>
        <w:br/>
        <w:t>[&lt;5,000] [&lt;250] [&lt;60]</w:t>
        <w:br/>
        <w:t>Source: Notification</w:t>
      </w:r>
    </w:p>
    <w:p>
      <w:r>
        <w:t>IV. RELEVANT MARKET</w:t>
      </w:r>
    </w:p>
    <w:p>
      <w:r>
        <w:t>IV.1. Product Market</w:t>
      </w:r>
    </w:p>
    <w:p>
      <w:r>
        <w:t>The economic sector affected by the operation is the development and exploitation of infrastructures under a concession regime.</w:t>
      </w:r>
    </w:p>
    <w:p>
      <w:r>
        <w:t>The infrastructures subject to the concession regime are those in which the service subject to the concession constitutes an activity proper to the State or, in its case, to the Autonomous Communities, which the concessionaire manages, in its name and temporarily, under the inspection and supervision of the granting Administration.</w:t>
      </w:r>
    </w:p>
    <w:p>
      <w:r>
        <w:rPr>
          <w:b/>
        </w:rPr>
        <w:t>[Pages 7–9]</w:t>
      </w:r>
    </w:p>
    <w:p>
      <w:r>
        <w:t>The various national precedents have considered that in the activity of construction, maintenance, and operation under a concession regime, there is competition "for the market" and not "in the market": companies compete for the concessions, but there is no competition among concessionaires once such concessions have been awarded.</w:t>
      </w:r>
    </w:p>
    <w:p>
      <w:r>
        <w:t>Taking into account the corporate purpose of TRANVÍA PARLA, and that both FCC and CAJAMADRID are active in the construction, maintenance, conservation, and operation under a concession regime of railway facilities, the affected market in which the notified operation is framed is that of railway concessions.</w:t>
      </w:r>
    </w:p>
    <w:p>
      <w:r>
        <w:t>From the demand perspective, public authorities call for differentiated tenders for the concession of each type of infrastructure, and from the supply perspective, the human resources and machinery to provide management and maintenance services for highways and railways are different and cannot be exchanged between companies present in both segments.</w:t>
      </w:r>
    </w:p>
    <w:p>
      <w:r>
        <w:t>Therefore, community precedents have concluded that there is a differentiated product market for the management and maintenance of railway structures.</w:t>
      </w:r>
    </w:p>
    <w:p>
      <w:r>
        <w:t>So far, the types of railway transport managed under a concession regime are as follows:</w:t>
        <w:br/>
        <w:t>− Metropolitan railway or "metro," which is a means of urban railway transport that is entirely or mostly underground and whose rolling stock is light.</w:t>
        <w:br/>
        <w:t>− Tram (also referred to as light rail in some Autonomous Communities, such as in Madrid), which is a means of urban railway transport that runs on the surface entirely or mostly and whose rolling stock is light.</w:t>
        <w:br/>
        <w:t>− Train, which is a means of intercity railway transport whose rolling stock is heavy.</w:t>
      </w:r>
    </w:p>
    <w:p>
      <w:r>
        <w:t>According to the information provided by the notifiers, the technical and financial requirements demanded in the concession specifications do not differ substantially depending on whether it is a railway transport means or another, and in no case in a way that prevents companies from participating in all tenders, especially since they are usually approached in the form of consortia.</w:t>
      </w:r>
    </w:p>
    <w:p>
      <w:r>
        <w:t>Therefore, taking into account the common basic regulation, the structure of supply and demand, and the type of concessions made so far, the relevant market for the effects of this operation will be considered as the market for railway infrastructures under a concession regime.</w:t>
      </w:r>
    </w:p>
    <w:p>
      <w:r>
        <w:t>IV.2. Geographic Market</w:t>
        <w:br/>
        <w:t>The European Commission has established in several decisions that certain public procurement markets (water management services, waste management, railway and road infrastructures) are of national scope.</w:t>
      </w:r>
    </w:p>
    <w:p>
      <w:r>
        <w:t>Likewise, in the aforementioned file N-06125 FCC/CAJA MADRID, it was considered that the geographical dimension of the markets for the development and operation of infrastructures under a concession regime is national, based on the fact that the regulation is similar at the level of each Member State and that different operators usually focus on their country of origin.</w:t>
      </w:r>
    </w:p>
    <w:p>
      <w:r>
        <w:t>In this case, it is not necessary to close this issue, as it does not alter the results of the analysis, so only the effects of the operation in the railway concessions market in Spain will be examined.</w:t>
      </w:r>
    </w:p>
    <w:p>
      <w:r>
        <w:t>V. MARKET ANALYSIS</w:t>
        <w:br/>
        <w:t>According to the information provided by the notifiers, the shares of the parties in the market for railway infrastructures under a concession regime in Spain are as follows:</w:t>
      </w:r>
    </w:p>
    <w:p>
      <w:r>
        <w:t>RAILWAY INFRASTRUCTURES UNDER A CONCESSION REGIME IN SPAIN (2007)</w:t>
        <w:br/>
        <w:t>Share</w:t>
        <w:br/>
        <w:t>Kms Turnover Share</w:t>
        <w:br/>
        <w:t>(Kms awarded (thousands €) (turnover)</w:t>
        <w:br/>
        <w:t>awarded)</w:t>
        <w:br/>
        <w:t>FCC 0 0.0% [... ] [0-10]%</w:t>
        <w:br/>
        <w:t>CajaMadrid 0 0.0% […] [0-10]%</w:t>
        <w:br/>
        <w:t>GVI 2.6 1.3% […] [0-10]%</w:t>
        <w:br/>
        <w:t>Tranvía Parla 8.5 4.2% […] [0-10]%</w:t>
        <w:br/>
        <w:t>SUBTOTAL 11.1 5.5% […] [0-10]%</w:t>
        <w:br/>
        <w:t>TOTAL</w:t>
        <w:br/>
        <w:t>203 100.0% […] 100.0%</w:t>
        <w:br/>
        <w:t>MARKET</w:t>
        <w:br/>
        <w:t>Source: Estimation by the notifiers</w:t>
      </w:r>
    </w:p>
    <w:p>
      <w:r>
        <w:t>VI. VALUATION OF THE OPERATION</w:t>
        <w:br/>
        <w:t>The notified concentration operation consists of the acquisition by FCC and CAJAMADRID of joint control of TRANVÍA PARLA.</w:t>
      </w:r>
    </w:p>
    <w:p>
      <w:r>
        <w:t>On the other hand, there is no concentration operation in relation to the acquisition of 12.5% of the share capital of RUTA PANTANOS, as FCC and CAJAMADRID already had joint control of this company.</w:t>
      </w:r>
    </w:p>
    <w:p>
      <w:r>
        <w:t>The relevant market for the purposes of this operation is the concession of railway infrastructures, with a relevant national geographic scope.</w:t>
      </w:r>
    </w:p>
    <w:p>
      <w:r>
        <w:t>Based on the turnover data, this concentration operation will result in a joint share of the notifiers in Spain of [0-10]% (addition of […] points) in the railway infrastructure concession market. By awarded kilometers, the joint share of the notifiers in Spain would rise to 5.5% (addition of 4.2%).</w:t>
      </w:r>
    </w:p>
    <w:p>
      <w:r>
        <w:t>Despite the difference in variation depending on the chosen magnitude, the levels of share variation are not significant, as the final shares do not exceed 10% of the market.</w:t>
      </w:r>
    </w:p>
    <w:p>
      <w:r>
        <w:t>Taking into account the considerations presented, it is not expected that the notified operation will pose a threat to effective competition in the analyzed markets.</w:t>
      </w:r>
    </w:p>
    <w:p>
      <w:r>
        <w:t>VII. PROPOSAL</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