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https://www.cnmc.es/expedientes/c011008</w:t>
      </w:r>
    </w:p>
    <w:p>
      <w:r>
        <w:t>Pages translated : 18</w:t>
      </w:r>
    </w:p>
    <w:p/>
    <w:p>
      <w:r>
        <w:rPr>
          <w:b/>
        </w:rPr>
        <w:t>[Pages 1–3]</w:t>
      </w:r>
    </w:p>
    <w:p>
      <w:r>
        <w:t>NATIONAL COMPETITION COMMISSION</w:t>
      </w:r>
    </w:p>
    <w:p>
      <w:r>
        <w:t>RESOLUTION</w:t>
      </w:r>
    </w:p>
    <w:p>
      <w:r>
        <w:t>File C-110/08 ABERTIS/AXIÓN AND C-84/08 TRADIA/TELEDIFUSIÓN MADRID</w:t>
      </w:r>
    </w:p>
    <w:p>
      <w: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Madrid, July 16, 2009</w:t>
      </w:r>
    </w:p>
    <w:p>
      <w:r>
        <w:t>The Council of the National Competition Commission (hereinafter CNC), with the composition expressed and with the rapporteur being Councilor Ms. Pilar Sánchez Núñez, has issued this Resolution under Article 58 of Law 15/2007, of July 3, on the Defense of Competition (hereinafter LDC) in the concentration file C-110/08 ABERTIS/AXIÓN AND C-84/08 TRADIA/TELEDIFUSIÓN MADRID regarding the economic concentration operations consisting of the acquisition by ABERTIS TELECOM S.A. (ABERTIS) of exclusive control over RED DE BANDA ANCHA DE ANDALUCÍA, S.A. (AXIÓN) and the acquisition of TELEDIFUSIÓN MADRID, S.A. (TDM) by TRADIA TELECOM, S.A. (TRADIA).</w:t>
      </w:r>
    </w:p>
    <w:p>
      <w:r>
        <w:t>FACTUAL BACKGROUND</w:t>
      </w:r>
    </w:p>
    <w:p>
      <w:r>
        <w:t>1. On July 18, 2008, the notification of the concentration operation consisting of the acquisition of the company Teledifusión Madrid, S.A. (hereinafter “TDM”) by TRADIA TELECOM, S.A. (hereinafter “TRADIA”) was received by the Investigation Directorate, assigning it the number C84/08 TRADIA/TDM. According to information from the notifying party, the transfer of ownership of the shares, as well as the payment of the price agreed between the buyer and the sellers, took place at the same time as the signing of the contract (March 7, 2008), therefore several months before the notification date. However, the notifying party reports the interruption of all subsequent execution acts planned, in particular, it has indefinitely postponed the dismissal of the main executive positions and the members of the Board of Directors, until the CNC makes a decision on the operation.</w:t>
      </w:r>
    </w:p>
    <w:p>
      <w:r>
        <w:t>2. On October 15, 2008, at the proposal of the Investigation Directorate, the CNC Council agreed in file C84/08 TRADIA/TDM to initiate the second phase procedure as provided for in Article 57.2 c) of the LDC. In this second phase, TRADIA presented its final commitments to the Investigation Directorate on January 30, 2008.</w:t>
      </w:r>
    </w:p>
    <w:p>
      <w:r>
        <w:t>3. On October 10, 2008, a notification regarding the economic concentration consisting of the acquisition by ABERTIS TELECOM, S.A. of exclusive control over RED DE BANDA ANCHA DE ANDALUCÍA was received by the Investigation Directorate of the CNC, assigning it the number C110/08 ABERTIS/AXIÓN. The notifying party accompanied the proposal for behavioral commitments. These commitments referred to the regulation that the Telecommunications Market Commission (CMT) imposed on ABERTIS in the market affected by this operation, as it had been considered an Operator with Significant Market Power. The offered commitments consisted of maintaining some of those regulatory obligations for the Autonomous Community of Andalusia for a period of 8 years, regardless of whether the CMT eliminated them for the rest of the national market, that is, in the event that such ex-ante regulation were to disappear. Subsequently, and after the deadline, a modification to those commitments was submitted.</w:t>
      </w:r>
    </w:p>
    <w:p>
      <w:r>
        <w:t>4. On February 2, the Council agreed that the commitments submitted late by ABERTIS in order to obtain authorization for operation C/0110/08 ABERTIS/AXIÓN in the first phase of the procedure, regulated by Article 59 of the LDC, before the Investigation Directorate did not meet the requirements set forth in the LDC. It was therefore agreed, based on the proposal of the Investigation Directorate, to initiate the second phase of the procedure as provided for in Article 57.2 c) of the LDC.</w:t>
      </w:r>
    </w:p>
    <w:p>
      <w:r>
        <w:t>5. On February 17, 2009, the CNC Council agreed to grant the request for accumulation made by the notifying party of the two concentration operations and, consequently, to accumulate file C-0084/08 TRADIA/TELEDIFUSIÓN MADRID to file C0110/08 ABERTIS/AXIÓN, continuing their processing jointly and concluding in a single Resolution.</w:t>
      </w:r>
    </w:p>
    <w:p>
      <w:r>
        <w:t>6. In accordance with Article 57.1 of Law 15/2007, of July 3, on the Defense of Competition, the Investigation Directorate formed a file, and in the processing of the same, it collected information from customers and competitors about the markets and about the commitments initially presented. On July 9, the Investigation Directorate submitted its report and proposal for resolution to the CNC Council. The Investigation Directorate analyzes and delineates the markets where the concentration operations will have their effects in the Report attached to this Resolution and summarized in section IV.3. Subsequently, the Investigation Directorate assesses that the operation will have detrimental effects on effective competition in those markets and no significant efficiencies derived from the operation are observed that can be taken into account. The commitments presented by the notifying party prior to the accumulation of the files are also assessed in the aforementioned report.</w:t>
      </w:r>
    </w:p>
    <w:p>
      <w:r>
        <w:t>7. The Investigation Directorate proposes, pursuant to Article 58.4b) of the LDC, to condition the authorization of the concentration on the fulfillment of conditions that must be met by ABERTIS TELECOM, S.A., TRADIA TELECOM, S.A., and any companies of the ABERTIS group. The proposed conditions are summarized below:</w:t>
      </w:r>
    </w:p>
    <w:p>
      <w:r>
        <w:t>“A) FIRST CONDITION: MARKET FOR THE TRANSPORT AND BROADCASTING OF TELEVISION SIGNALS</w:t>
      </w:r>
    </w:p>
    <w:p>
      <w:r>
        <w:t>A.1) Complete service for the transport and broadcasting of television signals for the regional plates of Andalusia and Madrid</w:t>
      </w:r>
    </w:p>
    <w:p>
      <w:r>
        <w:t>ABERTIS must offer a complete wholesale service for the transport and broadcasting of television signals for the regional plates of the Autonomous Community of Andalusia and the Autonomous Community of Madrid that meets the coverage needs of national and regional television services.</w:t>
      </w:r>
    </w:p>
    <w:p>
      <w:r>
        <w:t>• ABERTIS must offer a complete wholesale service including the distribution transport and broadcasting of the signals, by delivering the signal at a single interconnection point for the two regional plates or through a single point in each regional plate.</w:t>
      </w:r>
    </w:p>
    <w:p>
      <w:r>
        <w:t>• ABERTIS must offer a wholesale broadcasting service excluding the distribution transport service for the regional plates of Andalusia and Madrid. This wholesale service will allow for the joint contracting of an interconnection service for broadcasting in all centers of the two regional plates or any of them individually. This service will be provided under equivalent conditions to those established for the interconnection broadcasting service by center provided in section A.2) ABERTIS must offer the Co-location and interconnection service for the distribution transport of television as provided in section A.3) to operators who make use of this wholesale service and request it.</w:t>
      </w:r>
    </w:p>
    <w:p>
      <w:r>
        <w:t>The prices of these wholesale services will be oriented based on production costs, will be proportionate to the prices of the national service and the prices for the regional service in other regional plates, and must be objectively justified based on...</w:t>
      </w:r>
    </w:p>
    <w:p>
      <w:r>
        <w:rPr>
          <w:b/>
        </w:rPr>
        <w:t>[Pages 4–6]</w:t>
      </w:r>
    </w:p>
    <w:p>
      <w:r>
        <w:t>NATIONAL COMPETITION COMMISSION</w:t>
      </w:r>
    </w:p>
    <w:p>
      <w:r>
        <w:t>factors such as the number of transmitting centers of each type existing in the regional area.</w:t>
      </w:r>
    </w:p>
    <w:p>
      <w:r>
        <w:t>For wholesale services intended for the transport and/or broadcasting of national digital television signals, the allocation, where applicable, of costs independent of the geographical scope of the service to the wholesale price for each regional area and for the set of the two areas must be carried out using proportional criteria, being allocated proportionally to the number of centers in the area or other objective elements.</w:t>
      </w:r>
    </w:p>
    <w:p>
      <w:r>
        <w:t>ABERTIS must publish Reference Type Conditions, in accordance with the general conditions established for them in this resolution, adjusted to the specificity of the wholesale services provided in this section.</w:t>
      </w:r>
    </w:p>
    <w:p>
      <w:r>
        <w:t>The maximum period to respond to and fulfill requests for the complete service will be 1 month from the date they are requested.</w:t>
      </w:r>
    </w:p>
    <w:p>
      <w:r>
        <w:t>The maximum period to respond to requests for the broadcasting service without distribution transport service will be 1 month from the date they are requested.</w:t>
      </w:r>
    </w:p>
    <w:p>
      <w:r>
        <w:t>A.2) Interconnection service by center for the broadcasting of television signals in the centers located in the Communities of Andalusia and Madrid</w:t>
      </w:r>
    </w:p>
    <w:p>
      <w:r>
        <w:t>ABERTIS must offer access to each of its television broadcasting centers in the communities of Andalusia and Madrid under the modality of interconnection, for use in the provision of broadcasting services of national, regional, and local television services.</w:t>
      </w:r>
    </w:p>
    <w:p>
      <w:r>
        <w:t>The interconnection will refer to the physical and logical connection of the networks of the third operator and those of ABERTIS at those points of the television broadcasting network where it is viable. The interconnection of the third operator's network in the multiplexers and antennas for the broadcasting of the television signal is considered viable, without prejudice to the fact that the parties may freely and non-discriminatorily agree on interconnection at other access points.</w:t>
      </w:r>
    </w:p>
    <w:p>
      <w:r>
        <w:t>ABERTIS will provide this service under the conditions established for the interconnection modality in the Resolution of the Telecommunications Market Commission (CMT) of May 21, 2009, which approves the definition and analysis of the wholesale market for the broadcasting signal carrier service, the designation of an operator with significant market power, and the imposition of specific obligations, and its notification to the European Commission is agreed.</w:t>
      </w:r>
    </w:p>
    <w:p>
      <w:r>
        <w:t>Such access under the interconnection modality will be offered at all centers and sites of ABERTIS, AXIÓN, and TELEDIFUSIÓN MADRID, both in ownership and those for which it has usage rights, and that are used by these operators in the provision of television broadcasting services in Andalusia and Madrid, without the limitations on the availability of this modality provided in the aforementioned CMT Resolution being applicable.</w:t>
      </w:r>
    </w:p>
    <w:p>
      <w:r>
        <w:t>ABERTIS must offer the Co-location and Interconnection Service for the distribution transport service of television provided in section A.3) to operators who make use of this wholesale service and request it, at those centers or sites where they have requested the corresponding access.</w:t>
      </w:r>
    </w:p>
    <w:p>
      <w:r>
        <w:t>ABERTIS must publish Reference Type Conditions, in accordance with the general conditions established for them in this resolution, adjusted to the specificity of the wholesale services provided in this section.</w:t>
      </w:r>
    </w:p>
    <w:p>
      <w:r>
        <w:t>The maximum period to respond to requests for the provision of these services will be 1 month from the date they are requested.</w:t>
      </w:r>
    </w:p>
    <w:p>
      <w:r>
        <w:t>A.3) Co-location and interconnection service for the distribution transport of television</w:t>
      </w:r>
    </w:p>
    <w:p>
      <w:r>
        <w:t>ABERTIS will be obliged to offer access to each of its television broadcasting centers in the communities of Andalusia and Madrid under the modality of co-location for the equipment necessary for distribution transport and, when technically feasible, an interconnection service for said transport service.</w:t>
      </w:r>
    </w:p>
    <w:p>
      <w:r>
        <w:t>These services may be requested by operators at those sites where they have requested access to any of the wholesale interconnection services indicated in sections A.1) and A.2) above, and will be intended for the provision of transport and broadcasting services of national, regional, and local television.</w:t>
      </w:r>
    </w:p>
    <w:p>
      <w:r>
        <w:t>These obligations will be enforceable for centers and sites of ABERTIS, AXIÓN, and TELEDIFUSIÓN MADRID, both in ownership and those for which it has usage rights.</w:t>
      </w:r>
    </w:p>
    <w:p>
      <w:r>
        <w:t>In the event that there are limitations in certain centers to offer the co-location service and the interconnection service is also not viable, ABERTIS will be obliged to offer at all centers at least one of the two aforementioned services when access is requested, either through conditioning or expansion of space, or through interconnection.</w:t>
      </w:r>
    </w:p>
    <w:p>
      <w:r>
        <w:t>Co-location will consist of the leasing of space for the physical location of the operators' equipment in the existing physical spaces available in the corresponding infrastructures and centers. It will also generally include the provision, at the center where co-location occurs, of access to the power point, necessary security conditions, and conditioning required for the installation of the equipment used by the requesting operator. The co-location service may include an operation and maintenance service by ABERTIS for the co-located equipment.</w:t>
      </w:r>
    </w:p>
    <w:p>
      <w:r>
        <w:t>The interconnection service for transport will allow operators who request it to access the use of the equipment that ABERTIS has at the different sites designated to provide the distribution transport service, provided that the use of such equipment is technically viable. Among this equipment will be included, for example, the reception systems at the sites of signals distributed via satellite, or the use of antennas and other receiving equipment for signals broadcasted via fixed radio links. This interconnection service will allow an operator to deploy or contract its own signal transmission network and use the equipment of ABERTIS located at the sites for the reception of the same, when such use is technically viable.</w:t>
      </w:r>
    </w:p>
    <w:p>
      <w:r>
        <w:t>The wholesale services provided in this section must be offered at reasonable prices. The price set by ABERTIS for the provision of these services must be proportional and based on objective criteria.</w:t>
      </w:r>
    </w:p>
    <w:p>
      <w:r>
        <w:t>ABERTIS must publish Reference Type Conditions, in accordance with the general conditions established for them in this resolution, adjusted to the specificity of the wholesale services provided in this section.</w:t>
      </w:r>
    </w:p>
    <w:p>
      <w:r>
        <w:t>The maximum period to respond to requests for the provision of these services will be 1 month from the date they are requested.</w:t>
      </w:r>
    </w:p>
    <w:p>
      <w:r>
        <w:t>A.4) The obligations provided in this section will have a validity of 10 years from the date this Resolution becomes final in the administrative process.</w:t>
      </w:r>
    </w:p>
    <w:p>
      <w:r>
        <w:t>B) SECOND CONDITION: MARKET FOR THE TRANSPORT AND BROADCASTING OF SOUND BROADCASTING SIGNALS</w:t>
      </w:r>
    </w:p>
    <w:p>
      <w:r>
        <w:rPr>
          <w:b/>
        </w:rPr>
        <w:t>[Pages 7–9]</w:t>
      </w:r>
    </w:p>
    <w:p>
      <w:r>
        <w:t>NATIONAL COMPETITION COMMISSION</w:t>
      </w:r>
    </w:p>
    <w:p>
      <w:r>
        <w:t>B.1) Wholesale service for access to sound broadcasting signal transmission centers</w:t>
      </w:r>
    </w:p>
    <w:p>
      <w:r>
        <w:t>ABERTIS shall be obliged to offer access to each of the sound broadcasting signal transmission centers of AXIÓN located throughout the national territory under the modality of co-location and, when technically feasible, an interconnection service.</w:t>
      </w:r>
    </w:p>
    <w:p>
      <w:r>
        <w:t>These access services must be provided to allow the provision of transport and/or transmission services of sound broadcasting signals in their different modalities (analog and/or digital) and frequency bands, when technically feasible according to the characteristics of the sites and equipment available to ABERTIS.</w:t>
      </w:r>
    </w:p>
    <w:p>
      <w:r>
        <w:t>These obligations shall be enforceable for AXIÓN centers and sites, both owned and those for which they have usage rights.</w:t>
      </w:r>
    </w:p>
    <w:p>
      <w:r>
        <w:t>ABERTIS's compliance with this condition will allow operators and broadcasters to contract for each requested site, at their choice:</w:t>
        <w:br/>
        <w:t>- A complete service for the joint transport and broadcasting service of sound broadcasting signals at each center. Through this service, ABERTIS will be responsible for transporting the signal from the local production center to the site and its subsequent broadcasting.</w:t>
        <w:br/>
        <w:t>- An interconnection service for the sound broadcasting service and co-location of equipment for the sound broadcasting distribution transport service.</w:t>
        <w:br/>
        <w:t>- A co-location service for distribution transport and broadcasting equipment for sound broadcasting signals.</w:t>
      </w:r>
    </w:p>
    <w:p>
      <w:r>
        <w:t>In the event that there are limitations at certain centers to offer the co-location service and the interconnection service is also not feasible, ABERTIS shall be obliged to offer at all centers at least one of the aforementioned services when access is requested, either through conditioning or expansion of space, or through interconnection.</w:t>
      </w:r>
    </w:p>
    <w:p>
      <w:r>
        <w:t>Co-location will consist of leasing space for the physical location of operators' equipment in the existing physical spaces available in the corresponding infrastructures and centers. It will also generally include the provision, at the center where co-location occurs, of access to the power point, necessary safety conditions, and conditioning for the installation of the equipment used by the operator requesting access. The co-location service may include an operation and maintenance service by ABERTIS for the co-located equipment.</w:t>
      </w:r>
    </w:p>
    <w:p>
      <w:r>
        <w:t>The interconnection in the broadcasting service will refer to the physical and logical connection of the networks of the third operator and those of ABERTIS at those points of the sound broadcasting signal transmission network where it is feasible. The interconnection of the third operator's network at the multiplexers and antennas for the broadcasting of the sound broadcasting signal is considered feasible, without prejudice to the fact that the parties may freely and non-discriminatorily agree on interconnection at other access points.</w:t>
      </w:r>
    </w:p>
    <w:p>
      <w:r>
        <w:t>The wholesale services provided in this section must be offered at reasonable prices. The price set by ABERTIS for the provision of these services must be proportional and based on objective criteria.</w:t>
      </w:r>
    </w:p>
    <w:p>
      <w:r>
        <w:t>ABERTIS shall publish Reference Type Conditions, in accordance with the general conditions established for them in this resolution, adjusted to the specificity of the wholesale services provided in this section.</w:t>
      </w:r>
    </w:p>
    <w:p>
      <w:r>
        <w:t>The maximum period for responding to requests for the provision of these services shall be 1 month from the date they are requested.</w:t>
      </w:r>
    </w:p>
    <w:p>
      <w:r>
        <w:t>B.2) The access obligations shall have a duration of 5 years from the date this Resolution becomes firm in the administrative process.</w:t>
      </w:r>
    </w:p>
    <w:p>
      <w:r>
        <w:t>C) THIRD CONDITION: GENERAL CONDITIONS FOR THE PROVISION OF WHOLESALE ACCESS SERVICES PROVIDED IN THIS RESOLUTION</w:t>
      </w:r>
    </w:p>
    <w:p>
      <w:r>
        <w:t>C.1) General conditions under which access must be provided</w:t>
      </w:r>
    </w:p>
    <w:p>
      <w:r>
        <w:t>Any operator and/or broadcaster may request and obtain access or use of the infrastructures, under the terms provided in the previous sections. ABERTIS may not deny access or use of the infrastructures, except with prior approval from the CNC.</w:t>
      </w:r>
    </w:p>
    <w:p>
      <w:r>
        <w:t>The CNC will approve the conditions for access or use of the infrastructures, in those matters not specifically provided for in this resolution.</w:t>
      </w:r>
    </w:p>
    <w:p>
      <w:r>
        <w:t>It is understood that the notion of access refers to the availability to third operators and/or broadcasters by ABERTIS, in relation to the networks of transport services and/or broadcasting of television signals at the national, regional, and local levels, and of sound broadcasting signals, of the associated resources or necessary services so that the third operator has all the elements to carry out the provision of the corresponding services in that territory, under the conditions established for each of the access modalities in this Resolution, those included in the Action Plan, and those approved, where applicable, by the CNC.</w:t>
      </w:r>
    </w:p>
    <w:p>
      <w:r>
        <w:t>For the purposes of this resolution, only requests for access related exclusively to the provision of transport and/or broadcasting services of television signals at the national, regional, and local levels, and of sound broadcasting signals, in accordance with the conditions established for each of the access modalities provided in this Resolution will be considered. This Plan will not apply to access requests made by operators of other telecommunications services that could be located in the infrastructures of ABERTIS affected by this Resolution.</w:t>
      </w:r>
    </w:p>
    <w:p>
      <w:r>
        <w:t>For the purposes of this Resolution, the term infrastructures shall be understood to encompass any of the elements of the transmitting and re-transmitting centers used for the provision of the specified services, including, consequently, both the sites and, where applicable, the equipment and resources associated with both, for each established access modality.</w:t>
      </w:r>
    </w:p>
    <w:p>
      <w:r>
        <w:t>ABERTIS must respond to access requests provided in this resolution under transparent and non-discriminatory conditions. Such requests may only be rejected for objective and justified reasons, with prior approval from the CNC, and these will form part of the Reference Type Conditions.</w:t>
      </w:r>
    </w:p>
    <w:p>
      <w:r>
        <w:t>In particular, ABERTIS will take the necessary measures for the provision of the wholesale access services indicated in this Resolution, supplying third parties with services and information equivalent to that provided to itself or its subsidiaries or affiliates, under the same conditions and timeframes.</w:t>
      </w:r>
    </w:p>
    <w:p>
      <w:r>
        <w:t>For the purposes of verifying the obligations of non-discrimination, ABERTIS will submit the agreements signed for access or use of the infrastructures under the conditions provided in this Resolution within a maximum period of ten days from their formalization.</w:t>
      </w:r>
    </w:p>
    <w:p>
      <w:r>
        <w:t>ABERTIS must separate its accounts in relation to the different wholesale services indicated in this resolution. Likewise, ABERTIS must ensure that its analytical cost accounting allows for a sufficient breakdown of the costs attributable to the infrastructures and</w:t>
      </w:r>
    </w:p>
    <w:p>
      <w:r>
        <w:rPr>
          <w:b/>
        </w:rPr>
        <w:t>[Pages 10–12]</w:t>
      </w:r>
    </w:p>
    <w:p>
      <w:r>
        <w:t>NATIONAL COMPETITION COMMISSION</w:t>
      </w:r>
    </w:p>
    <w:p>
      <w:r>
        <w:t>of that company in the Autonomous Communities of Andalusia and Madrid compared to those it has in the rest of the Spanish territory. The technical, quality, and price characteristics of the wholesale services provided for in this resolution must allow any operator to replicate the services offered by ABERTIS in the respective coverage areas, and the retail offers made by this operator for the different related retail services.</w:t>
      </w:r>
    </w:p>
    <w:p>
      <w:r>
        <w:t>C.2) Reference Standard Conditions</w:t>
      </w:r>
    </w:p>
    <w:p>
      <w:r>
        <w:t>ABERTIS must submit a proposal for Reference Standard Conditions for the different access modalities provided for in this resolution, adjusted to the minimum content indicated below, within a period of three months from the approval of the Action Plan.</w:t>
      </w:r>
    </w:p>
    <w:p>
      <w:r>
        <w:t>Operators and/or broadcasters requesting access may adhere to the Reference Standard Conditions, unless they freely and non-discriminatorily agree otherwise.</w:t>
      </w:r>
    </w:p>
    <w:p>
      <w:r>
        <w:t>The Standard Conditions and their content may be modified by the CNC if required for the proper compliance with the conditions established in this resolution.</w:t>
      </w:r>
    </w:p>
    <w:p>
      <w:r>
        <w:t>ABERTIS must keep the Reference Standard Conditions updated with a minimum frequency of every six months. Notwithstanding this, any eventual modification of the relationships of centers and equipment where access is provided for the different modalities (additions and removals of infrastructures, as well as modifications thereof), which may occur, must be available to third parties and communicated to the CNC within seven working days from the occurrence of the modification in question. ABERTIS shall reasonably justify the communication to the CNC of any removals of sites from the list of infrastructures.</w:t>
      </w:r>
    </w:p>
    <w:p>
      <w:r>
        <w:t>The Reference Standard Conditions must be available to any operator and/or broadcaster that has an interest and requests them, and may be deposited with the CNC for consultation by such operators, under the terms determined by the Standard Conditions themselves.</w:t>
      </w:r>
    </w:p>
    <w:p>
      <w:r>
        <w:t>The Reference Standard Conditions for each access modality provided for in this resolution will include the necessary information to allow operators requesting it to effectively exercise their rights of access to the indicated wholesale services, including at least the following:</w:t>
      </w:r>
    </w:p>
    <w:p>
      <w:r>
        <w:t>I. Conditions of access services or use of infrastructures.</w:t>
      </w:r>
    </w:p>
    <w:p>
      <w:r>
        <w:t>a) Definition of the characteristics of the services offered.</w:t>
      </w:r>
    </w:p>
    <w:p>
      <w:r>
        <w:t>b) For wholesale co-location and interconnection services, a list of the centers, equipment, and infrastructures where access will be available and their main characteristics. For co-location and interconnection services, the information to be provided will be at least that collected for these two modalities in the CMT Resolution of May 21, 2009, which approves the definition and analysis of the wholesale market for the broadcasting signal carrier service, the designation of an operator with significant market power, and the imposition of specific obligations, and its notification to the European Commission is agreed.</w:t>
      </w:r>
    </w:p>
    <w:p>
      <w:r>
        <w:t>c) Technical conditions related to access and use of infrastructures, and in particular, definition of interconnection points and technical parameters for signal delivery.</w:t>
      </w:r>
    </w:p>
    <w:p>
      <w:r>
        <w:t>II. Procedures for addressing access requests</w:t>
      </w:r>
    </w:p>
    <w:p>
      <w:r>
        <w:t>a) Access request and supply procedure, and criteria for addressing access requests, particularly when there are limitations to providing co-location and/or interconnection services, and objective criteria on which to base the adoption of access restrictions, if any.</w:t>
      </w:r>
    </w:p>
    <w:p>
      <w:r>
        <w:t>b) General conditions for the study of access feasibility including that the operator may inspect the sites where co-location and/or interconnection services are offered.</w:t>
      </w:r>
    </w:p>
    <w:p>
      <w:r>
        <w:t>c) Access conditions for authorized personnel of the operator granted access.</w:t>
      </w:r>
    </w:p>
    <w:p>
      <w:r>
        <w:t>III. Information systems</w:t>
      </w:r>
    </w:p>
    <w:p>
      <w:r>
        <w:t>a) Conditions for the publicity of the Reference Standard Conditions.</w:t>
      </w:r>
    </w:p>
    <w:p>
      <w:r>
        <w:t>b) Conditions for access to information about infrastructures and services.</w:t>
      </w:r>
    </w:p>
    <w:p>
      <w:r>
        <w:t>IV. Supply conditions</w:t>
      </w:r>
    </w:p>
    <w:p>
      <w:r>
        <w:t>a) Conditions for responding to requests for services and resources, agreements on service levels, resolution of faults, procedures for returning to normal service, and service quality parameters.</w:t>
      </w:r>
    </w:p>
    <w:p>
      <w:r>
        <w:t>b) Standard access contract models including standard conditions for: deadlines for access provision, associated resources, and fault repair and, where appropriate, compensation for breach of deadlines; and procedures for the location of equipment and filing complaints and maintenance conditions.</w:t>
      </w:r>
    </w:p>
    <w:p>
      <w:r>
        <w:t>c) Prices or pricing formulas for each service, sufficiently itemized and referring both to initial prices and, where applicable, to recurring prices, as well as other applicable economic conditions. The prices for each modality will be adjusted to the specific provisions established in this Resolution.</w:t>
      </w:r>
    </w:p>
    <w:p>
      <w:r>
        <w:t>D) FOURTH CONDITION: CONDITIONS RELATING TO TRANSPORT AND/OR BROADCASTING CONTRACTS FOR TELEVISION AND SOUND BROADCASTING SIGNALS</w:t>
      </w:r>
    </w:p>
    <w:p>
      <w:r>
        <w:t>In relation to the contracts in force that ABERTIS, AXIÓN, or TELEDIFUSIÓN MADRID have subscribed for the provision of transport and/or broadcasting services of national, regional, or local television signals in the Communities of Andalusia, Madrid, Asturias, Cantabria, La Rioja, Aragón, Catalonia, Castilla y León, Extremadura, Balearic Islands, and Canary Islands, and for the transport and/or broadcasting services of sound broadcasting signals whose scope is greater than local (affecting more than a single site), the following conditions are imposed on ABERTIS:</w:t>
      </w:r>
    </w:p>
    <w:p>
      <w:r>
        <w:t>• ABERTIS may not exercise the rights of first refusal or retraction or options for extension or prolongation of the duration of the contracts.</w:t>
      </w:r>
    </w:p>
    <w:p>
      <w:r>
        <w:t>• ABERTIS may not proceed to modify the contracts signed to include additional or complementary services to those already contracted, unless requested to do so by the counterparty. In this case, ABERTIS will grant the counterparty of these contracts a right of unilateral termination without penalty or compensation.</w:t>
      </w:r>
    </w:p>
    <w:p>
      <w:r>
        <w:t>• The new contracts that ABERTIS signs in the future may not have a duration exceeding 5 years, including any mechanism for extension, option, or right of first refusal and retraction, unless the counterparty desires a longer duration. In this case, ABERTIS will grant the counterparty of these contracts a right of unilateral termination without penalty or compensation starting from the end of the fifth year of the contract's validity.</w:t>
      </w:r>
    </w:p>
    <w:p>
      <w:r>
        <w:t>• ABERTIS will offer the holders of the existing contracts signed by AXIÓN and TELEDIFUSIÓN MADRID the option to reduce the duration of these contracts to 5 years, without modification of the other conditions established therein, nor any penalty or compensation.</w:t>
      </w:r>
    </w:p>
    <w:p>
      <w:r>
        <w:t>• Once the conditions of this operation are effectively implemented, ABERTIS will offer the possibility of termination without penalty or compensation of all contracts signed or that have been modified by ABERTIS or AXIÓN from the date on which the</w:t>
      </w:r>
    </w:p>
    <w:p>
      <w:r>
        <w:rPr>
          <w:b/>
        </w:rPr>
        <w:t>[Pages 13–15]</w:t>
      </w:r>
    </w:p>
    <w:p>
      <w:r>
        <w:t>NATIONAL COMPETITION COMMISSION</w:t>
      </w:r>
    </w:p>
    <w:p>
      <w:r>
        <w:t>signed the purchase agreement between both operators. The Investigation Directorate will determine the date on which the conditions of this operation are considered effectively implemented for the purposes provided in this condition, which may refer to the different markets related to the various wholesale access services provided in this Resolution, identifying the affected contracts in each market.</w:t>
      </w:r>
    </w:p>
    <w:p>
      <w:r>
        <w:t>• In the case of the transport and/or broadcasting service of national terrestrial digital television signals, ABERTIS must offer the service by regional plates when requested by broadcasters or by those who are to contract the service.</w:t>
      </w:r>
    </w:p>
    <w:p>
      <w:r>
        <w:t>• ABERTIS must guarantee the continuity of the provision of contracted services under conditions analogous to coverage, quality, continuity, and price to those it has been offering to date under the contracts referred to in this section, when requested by broadcasters. During the period established for these conditions, ABERTIS will be obliged to continue providing the contracted services and may not increase the prices of its services by an amount greater than the annual CPI.</w:t>
      </w:r>
    </w:p>
    <w:p>
      <w:r>
        <w:t>The conditions provided in this section will be valid for 10 years from the date this Resolution becomes final in the administrative process.</w:t>
      </w:r>
    </w:p>
    <w:p>
      <w:r>
        <w:t>E) FIFTH CONDITION: MONITORING OF COMPLIANCE WITH THE CONDITIONS ESTABLISHED IN THIS RESOLUTION</w:t>
      </w:r>
    </w:p>
    <w:p>
      <w:r>
        <w:t>It will be the responsibility of the Investigation Directorate to monitor compliance with the conditions established in this Resolution. The Investigation Directorate will prepare an annual report on the monitoring of the conditions established in this Resolution.</w:t>
      </w:r>
    </w:p>
    <w:p>
      <w:r>
        <w:t>In accordance with the provisions of Article 41.1 of Law 15/2007, of July 3, on the Defense of Competition, the National Competition Commission may request the Telecommunications Market Commission for the cooperation it deems necessary for the monitoring and compliance with the conditions established in this resolution.</w:t>
      </w:r>
    </w:p>
    <w:p>
      <w:r>
        <w:t>ABERTIS must provide the Investigation Directorate with all the necessary information for the proper performance of its monitoring and compliance functions regarding the conditions established in this resolution, preserving in all cases the confidentiality of any information containing trade secrets.</w:t>
      </w:r>
    </w:p>
    <w:p>
      <w:r>
        <w:t>F) SIXTH CONDITION: ACTION PLAN</w:t>
      </w:r>
    </w:p>
    <w:p>
      <w:r>
        <w:t>Within two months from the date this Resolution becomes final in the administrative process, ABERTIS must submit to the Investigation Directorate a detailed action plan and timelines for the implementation of the previous conditions, unless ABERTIS demonstrates beforehand that it will not execute any of the concentration operations authorized with conditions by this Resolution.</w:t>
      </w:r>
    </w:p>
    <w:p>
      <w:r>
        <w:t>The Investigation Directorate may introduce any modifications deemed necessary for the proper compliance and monitoring of the aforementioned conditions.</w:t>
      </w:r>
    </w:p>
    <w:p>
      <w:r>
        <w:t>G) SEVENTH CONDITION: MODIFICATION OF THE CONDITIONS AND TIMELINES PROVIDED IN THIS RESOLUTION</w:t>
      </w:r>
    </w:p>
    <w:p>
      <w:r>
        <w:t>The Council of the National Competition Commission, at the request of ABERTIS, following a report from the Investigation Directorate, may agree to modify the conditions established in this resolution and the timelines provided therein, in the event of a significant change in the structure or regulation of the considered markets.</w:t>
      </w:r>
    </w:p>
    <w:p>
      <w:r>
        <w:t>8. The following parties have been declared interested:</w:t>
      </w:r>
    </w:p>
    <w:p>
      <w:r>
        <w:t>– GESTEVISIÓN TELECINCO, S.A.</w:t>
        <w:br/>
        <w:t>– SOGECABLE, S.A.</w:t>
        <w:br/>
        <w:t>– SOCIEDAD ESPAÑOLA DE RADIODIFUSIÓN, S.A.</w:t>
        <w:br/>
        <w:t>– VEO TELEVISIÓN, S.A.</w:t>
        <w:br/>
        <w:t>– EMPRESA MULTIMEDIA DE SAN ROQUE, S.A.</w:t>
        <w:br/>
        <w:t>– AGENCIA PÚBLICA EMPRESARIAL DE LA RADIO Y TELEVISIÓN DE ANDALUCÍA</w:t>
        <w:br/>
        <w:t>– SES ASTRA, S.A.</w:t>
        <w:br/>
        <w:t>– RADIODIFUSIÓN DIGITAL SL.</w:t>
      </w:r>
    </w:p>
    <w:p>
      <w:r>
        <w:t>9. After deliberating in its plenary session on July 13, 2009, the Council of the National Competition Commission adopted the following Resolution:</w:t>
      </w:r>
    </w:p>
    <w:p>
      <w:r>
        <w:t>LEGAL GROUNDS</w:t>
      </w:r>
    </w:p>
    <w:p>
      <w:r>
        <w:t>First.- In accordance with Article 58.2 of the LDC, based on the report and the resolution proposal from the Investigation Directorate, the Council of the CNC will issue a resolution in the first phase, in which it may: a) Authorize the concentration. b) Condition the authorization of the concentration on the fulfillment of certain commitments proposed by the notifiers or conditions. c) Agree to initiate the second phase of the procedure when it considers that the concentration may hinder the maintenance of effective competition in all or part of the national market. d) Agree to refer the concentration to the European Commission in accordance with Article 22 of Council Regulation (EC) No. 139/2004 of January 20, 2004, on the control of concentrations between undertakings and the filing of the corresponding notification. In this case, such referral will be notified to the notifier, indicating that the competence to make a decision on the matter corresponds to the European Commission in accordance with community regulations and that, therefore, the operation cannot benefit from the positive silence provided for in Article 38, and e) Agree to file the proceedings in the cases provided for in this Law.</w:t>
      </w:r>
    </w:p>
    <w:p>
      <w:r>
        <w:t>Second.- In accordance with the provisions of Article 59 of the LDC, the notifier has presented commitments in previous phases to the accumulation agreed in this file. These commitments are revealed in the proposal that the Investigation Directorate submits to the Council of the CNC. However, the assessment of the Investigation Directorate regarding them is that they are not sufficient either on their own or taking into account the ex-ante regulation of the CMT.</w:t>
      </w:r>
    </w:p>
    <w:p>
      <w:r>
        <w:t>The Investigation Directorate, in its proposal to the Council of the CNC, has extensively justified, in the opinion of this Council, the need to design a series of conditions to which the authorization of the two proposed concentration operations should be subordinated.</w:t>
      </w:r>
    </w:p>
    <w:p>
      <w:r>
        <w:t>The two analyzed concentration operations imply the elimination of an operator in the market and the consequent loss of competitive pressure in the markets in which it operates. This loss of competitive pressure is intensified because in the Autonomous Communities of Andalusia and Madrid, the operator that is eliminated is acquired by companies of the same group, ABERTIS, which is also the only one capable of offering, as revealed by the analysis of the Investigation Directorate, the services that were previously offered by AXION and by TDM.</w:t>
      </w:r>
    </w:p>
    <w:p>
      <w:r>
        <w:t>This occurs in a market where there are strong barriers to entry, both on the supply and demand sides.</w:t>
      </w:r>
    </w:p>
    <w:p>
      <w:r>
        <w:t>On the supply side, we find ourselves in a sector characterized by the presence of significant sunk costs and economies of scale and scope. Furthermore, although the transport (distribution) service and the broadcasting service may be offered by different operators, the reality shows that the vast majority of demanders of both services contract them jointly, which increases the infrastructure needs and thereby intensifies the entry barrier posed by sunk costs.</w:t>
      </w:r>
    </w:p>
    <w:p>
      <w:r>
        <w:t>On the demand side, it is a service that is contracted for long periods, and where the market size is limited. Therefore, the existence of service contracts with excessively long durations constitutes a market closure, reducing opportunities for new entrants.</w:t>
      </w:r>
    </w:p>
    <w:p>
      <w:r>
        <w:t>All these characteristics analyzed and thoroughly assessed in the Report prepared by the Investigation Directorate adequately justify, in the opinion of this Council, the rationale behind the conditions proposed by the Investigation Directorate for the operations to be authorized.</w:t>
      </w:r>
    </w:p>
    <w:p>
      <w:r>
        <w:rPr>
          <w:b/>
        </w:rPr>
        <w:t>[Pages 16–18]</w:t>
      </w:r>
    </w:p>
    <w:p>
      <w:r>
        <w:t>NATIONAL COMPETITION COMMISSION</w:t>
      </w:r>
    </w:p>
    <w:p>
      <w:r>
        <w:t>restoring the competitive conditions that the operations alter. Furthermore, the fact that these conditions affect the infrastructure acquired with the operation, that is, the one provided by AXION and TDM, makes them conditions proportionate to the hindrance of maintaining effective competition, as what is pursued is that the infrastructure that was previously available to third parties continues to be so in the future, despite the fact that all of it is in the hands of a single operator who becomes a monopolistic operator. Only in this way will it be possible to restore the competitive pressure that disappears from the market with this operation, pressure that naturally disciplines operators in the market to obtain competitive behaviors from them. In this same sense, it has been decided to impose not only physical access to the infrastructure through co-location and interconnection systems but also the complete service of transport and broadcasting of television signals for the regional plates of Andalusia and Madrid. The existence of a complete wholesale service enables the entry of operators in a first phase, who once operating in the market and in the presence of new windows of opportunity to attract new customers, are incentivized to invest in new communication networks, thus contributing to the development of new infrastructures since it is proposed that the obligations of this service have a time limit.</w:t>
      </w:r>
    </w:p>
    <w:p>
      <w:r>
        <w:t>In summary, the conditions proposed by the Investigation Directorate and accepted by this Council are adequate in their sense, proportionate in terms of spatial and temporal dimension, and sufficient, because they imply reopening, both on the supply side and on the demand side, what these two operations close.</w:t>
      </w:r>
    </w:p>
    <w:p>
      <w:r>
        <w:t>Third.- The proper execution of the commitments requires the approval by the CNC of an Action Plan for the implementation of each and every one of these commitments within the deadlines and under the conditions provided in section F) of the proposed conditions.</w:t>
      </w:r>
    </w:p>
    <w:p>
      <w:r>
        <w:t>Fourth.- In accordance with the provisions of the LDC, this Resolution will be executive when any of the situations provided for in its Art. 58.6 occurs.</w:t>
      </w:r>
    </w:p>
    <w:p>
      <w:r>
        <w:t>Fifth.- In order to ensure the effectiveness of the commitments, the CNC must oversee their proper execution, under the terms regulated in Article 41.1 of the LDC. In particular, in order to monitor compliance with the obligations that would arise from ABERTIS TELECOM's acceptance of the conditions contained in this Resolution or, where appropriate, from the Council of Ministers Agreement that concludes the procedure, the CNC may request the cooperation of the regional competition defense bodies and sectoral regulators.</w:t>
      </w:r>
    </w:p>
    <w:p>
      <w:r>
        <w:t>SIXTH.- The concentration operation C0084/08 TRADIA/TDM was notified on July 18, 2008. As stated in AH 2, the operation became effective on March 7, 2008, several months before its notification. Article 9 of the LDC provides that economic concentrations that are subject to mandatory notification to the competition authorities must be notified to the CNC prior to their execution. For its part, Article 62.2.a) classifies as a minor infringement the submission of the notification of the economic concentration to the CNC outside the deadlines provided in Articles 9.3.a) and 9.5. According to the dates stated in AH 2, the notification of the operation would have been after the transfer of shares from TDM to TRADIA, so the Council considers, in accordance with paragraph 534 of the Investigation Directorate's Report, that there are indications of infringement to initiate the corresponding sanctioning file.</w:t>
      </w:r>
    </w:p>
    <w:p>
      <w:r>
        <w:t>The non-compliance with the provisions of this Resolution will be considered a very serious infringement and may, where appropriate, lead to the sanctions provided for in the LDC.</w:t>
      </w:r>
    </w:p>
    <w:p>
      <w:r>
        <w:t>Therefore, in view of the cited legal provisions and those of general application, the Council of the National Competition Commission,</w:t>
      </w:r>
    </w:p>
    <w:p>
      <w:r>
        <w:t>HAS RESOLVED</w:t>
      </w:r>
    </w:p>
    <w:p>
      <w:r>
        <w:t>FIRST.- Pursuant to Article 58.4.b) of Law 15/2007, to subordinate the authorization of the concentration to the fulfillment of the conditions proposed by the Investigation Directorate as set forth in Fact Background 7.</w:t>
      </w:r>
    </w:p>
    <w:p>
      <w:r>
        <w:t>SECOND.- Within two months from the date this Resolution becomes executive, ABERTIS TELECOM must submit to the CNC a detailed confidential action plan for the implementation of the conditions contained therein.</w:t>
      </w:r>
    </w:p>
    <w:p>
      <w:r>
        <w:t>THIRD.- Within a maximum period of two months from its receipt, said plan must be approved by the CNC, which may introduce in it the modifications it deems appropriate for the proper compliance with the conditions of this Agreement.</w:t>
      </w:r>
    </w:p>
    <w:p>
      <w:r>
        <w:t>FOURTH.- To urge the Investigation Directorate to initiate a sanctioning file for the non-compliance with Article 9 of the LDC against TRADIA.</w:t>
      </w:r>
    </w:p>
    <w:p>
      <w:r>
        <w:t>FIFTH.- By virtue of the provisions of Article 35.2.c) of the LDC, the monitoring of this Resolution is entrusted to the Investigation Directorate.</w:t>
      </w:r>
    </w:p>
    <w:p>
      <w:r>
        <w:t>SIXTH.- The non-compliance with the provisions of this Resolution is considered a very serious infringement in accordance with Article 62 of the LDC, which may, where appropriate, lead to the sanctions provided for in Articles 63 and 67 thereof.</w:t>
      </w:r>
    </w:p>
    <w:p>
      <w:r>
        <w:t>This Resolution shall be communicated to the Investigation Directorate of the CNC and to the Minister of Economy and Finance as provided in Article 58.5 of the LDC. Furthermore, it shall be notified to the interested parties informing them that this Resolution will not be effective, nor executive, nor will it conclude the administrative procedure if none of the two situations provided for in letters a) or b) of Article 58.6 of the LDC occurs and that against it, if the administrative route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