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https://www.cnmc.es/expedientes/c011308</w:t>
      </w:r>
    </w:p>
    <w:p>
      <w:r>
        <w:t>Pages translated : 33</w:t>
      </w:r>
    </w:p>
    <w:p/>
    <w:p>
      <w:r>
        <w:rPr>
          <w:b/>
        </w:rPr>
        <w:t>[Pages 1–3]</w:t>
      </w:r>
    </w:p>
    <w:p>
      <w:r>
        <w:t>NATIONAL COMMISSION</w:t>
        <w:br/>
        <w:t>FOR COMPETITION</w:t>
        <w:br/>
        <w:t>RESOLUTION (Exp. C-0113/08, SUPERMERCADOS SABECO/GALERÍAS</w:t>
        <w:br/>
        <w:t>PRIMERO)</w:t>
        <w:br/>
        <w:t>COUNCIL</w:t>
        <w:br/>
        <w:t>Mr. Luis Berenguer Fuster, President</w:t>
        <w:br/>
        <w:t>Mr. Fernando Torremocha García-Sáenz, Vice President</w:t>
        <w:br/>
        <w:t>Mr. Emilio Conde Fernández-Oliva, Councilor</w:t>
        <w:br/>
        <w:t>Mr. Miguel Cuerdo Mir, Councilor</w:t>
        <w:br/>
        <w:t>Mr. Julio Costas Comesaña, Councilor</w:t>
        <w:br/>
        <w:t>Ms. Mª Jesús González López, Councilor</w:t>
        <w:br/>
        <w:t>Ms. Inmaculada Gutiérrez Carrizo, Councilor</w:t>
        <w:br/>
        <w:t>In Madrid, on December 5, 2008.</w:t>
        <w:br/>
        <w:t>Having reviewed the file processed in accordance with Law 15/2007, of July 3, on</w:t>
        <w:br/>
        <w:t>Defense of Competition, regarding the acquisition of exclusive control of</w:t>
        <w:br/>
        <w:t>GALERÍAS PRIMERO S.A. by SUPERMERCADOS SABECO S.A.,</w:t>
        <w:br/>
        <w:t>belonging to the AUCHAN Group (Exp. C/0113/08), acting as Rapporteur the</w:t>
        <w:br/>
        <w:t>Councilor Mr. Emilio Conde Fernández-Oliva and in agreement with the report and</w:t>
        <w:br/>
        <w:t>proposal submitted by the Directorate of Investigation, the Council of the National</w:t>
        <w:br/>
        <w:t>Commission for Competition has resolved, in application of Article 57.2.b) of the</w:t>
        <w:br/>
        <w:t>aforementioned Law, to condition the authorization of the concentration on the</w:t>
        <w:br/>
        <w:t>compliance with the commitments proposed by SUPERMERCADOS SABECO S.A.</w:t>
        <w:br/>
        <w:t>This Resolution shall be communicated to the Directorate of Investigation of the</w:t>
        <w:br/>
        <w:t>National Commission for Competition and notified to the interested parties, informing</w:t>
        <w:br/>
        <w:t>them that it concludes the administrative process and that a contentious-administrative</w:t>
        <w:br/>
        <w:t>appeal may be filed against it before the National Court, within two months from its</w:t>
        <w:br/>
        <w:t>notification.</w:t>
      </w:r>
    </w:p>
    <w:p>
      <w:r>
        <w:t>NATIONAL COMMISSION DIRECTORATE OF INVESTIGATION</w:t>
        <w:br/>
        <w:t>FOR COMPETITION</w:t>
        <w:br/>
        <w:t>REPORT AND PROPOSAL FOR RESOLUTION</w:t>
        <w:br/>
        <w:t>FILE C/0113/08 SUPERMERCADOS SABECO/GALERIAS PRIMERO</w:t>
        <w:br/>
        <w:t>On October 24, 2008, the Directorate of Investigation received the</w:t>
        <w:br/>
        <w:t>concentration operation consisting of the acquisition of exclusive control of</w:t>
        <w:br/>
        <w:t>GALERIAS PRIMERO, S.A. by SUPERMERCADOS SABECO, S.A.,</w:t>
        <w:br/>
        <w:t>belonging to the AUCHAN group.</w:t>
        <w:br/>
        <w:t>This notification was made by SUPERMERCADOS SABECO, as established in</w:t>
        <w:br/>
        <w:t>Article 9 of Law 15/2007, of July 3, on Defense of Competition (LDC) for exceeding</w:t>
        <w:br/>
        <w:t>the market share and sales volume thresholds established in Articles 8.1 a) and b) of</w:t>
        <w:br/>
        <w:t>the aforementioned regulation. This operation is subject to the provisions of Royal</w:t>
        <w:br/>
        <w:t>Decree 261/2008, of February 22, which approves the Regulation on Defense of</w:t>
        <w:br/>
        <w:t>Competition.</w:t>
        <w:br/>
        <w:t>Article 57.2.c) of Law 15/2007 establishes that the Council of the National</w:t>
        <w:br/>
        <w:t>Commission for Competition (CNC) shall issue a resolution in the first phase in which</w:t>
        <w:br/>
        <w:t>it may agree to initiate the second phase of the procedure when it considers that the</w:t>
        <w:br/>
        <w:t>concentration may hinder the maintenance of effective competition in all or part of the</w:t>
        <w:br/>
        <w:t>national market.</w:t>
        <w:br/>
        <w:t>Furthermore, Article 38.2 of Law 15/2007 adds: "The passage of the maximum</w:t>
        <w:br/>
        <w:t>period established in Article 36.2.a) of this Law for the resolution in the first phase of</w:t>
        <w:br/>
        <w:t>control of concentrations will determine the acceptance of the corresponding request</w:t>
        <w:br/>
        <w:t>by administrative silence, except in the cases provided for in Articles 9.5, 55.5 and</w:t>
        <w:br/>
        <w:t>57.2.d) of this Law.”</w:t>
        <w:br/>
        <w:t>In accordance with the provisions of Article 59.2 of the LDC, the notifying party has</w:t>
        <w:br/>
        <w:t>proposed commitments to resolve the doubts that the operation may raise regarding</w:t>
        <w:br/>
        <w:t>possible obstacles to the maintenance of effective competition in the affected markets,</w:t>
        <w:br/>
        <w:t>both initially, along with the notification, and subsequently, on December 1 and 4,</w:t>
        <w:br/>
        <w:t>2008.</w:t>
        <w:br/>
        <w:t>According to the above, the deadline to agree to initiate the second phase of the</w:t>
        <w:br/>
        <w:t>procedure is December 5, 2008, inclusive. After this date, the notified operation will be</w:t>
        <w:br/>
        <w:t>considered tacitly authorized.</w:t>
        <w:br/>
        <w:t>I. NATURE OF THE OPERATION</w:t>
        <w:br/>
        <w:t>Background</w:t>
        <w:br/>
        <w:t>On August 18, 2008, Supermercados SABECO notified the CNC of the acquisition by</w:t>
        <w:br/>
        <w:t>the French group AUCHAN, through its subsidiary SUPERMERCADOS SABECO,</w:t>
        <w:br/>
        <w:t>S.A., of exclusive control of GALERIAS PRIMERO, S.A., through the purchase of</w:t>
        <w:br/>
        <w:t>the entirety of its share capital, formalized in a purchase contract signed on July 18,</w:t>
        <w:br/>
        <w:t>2008. This notification gave rise to concentration file C/0095 SABECO/GALERIAS</w:t>
        <w:br/>
        <w:t>PRIMERO.</w:t>
      </w:r>
    </w:p>
    <w:p>
      <w:r>
        <w:t>On October 8, 2008, the Council of the CNC, at the proposal of the Directorate of</w:t>
        <w:br/>
        <w:t>Investigation, issued a resolution in the first phase, in which it agreed to initiate the</w:t>
        <w:br/>
        <w:t>second phase of the procedure in accordance with Article 57.2.c) of the LDC, due to</w:t>
        <w:br/>
        <w:t>the doubts raised regarding whether the operation could negatively affect competition</w:t>
        <w:br/>
        <w:t>in any of the considered markets and, in particular, in the markets of Calatayud,</w:t>
        <w:br/>
        <w:t>Alcañiz, and Ejea de los Caballeros.</w:t>
        <w:br/>
        <w:t>On October 16, 2008, SABECO requested to be considered withdrawn from the</w:t>
        <w:br/>
        <w:t>notification procedure, having proceeded to terminate the purchase contract, due to</w:t>
        <w:br/>
        <w:t>discrepancies that arose with the selling party.</w:t>
        <w:br/>
        <w:t>On October 22, 2008, the Council of the CNC issued a resolution to archive the file</w:t>
        <w:br/>
        <w:t>due to the withdrawal of the notifying party.</w:t>
        <w:br/>
        <w:t>Current Operation</w:t>
        <w:br/>
        <w:t>The current notification concerns the aforementioned concentration operation, that is,</w:t>
        <w:br/>
        <w:t>the acquisition by the French group AUCHAN, through its subsidiary</w:t>
        <w:br/>
        <w:t>SUPERMERCADOS SABECO, S.A., of exclusive control of GALERIAS PRIMERO,</w:t>
        <w:br/>
        <w:t>S.A., through the purchase of the entirety of its share capital.</w:t>
        <w:br/>
        <w:t>According to the information from the notifying party, the parties signed on October 23,</w:t>
        <w:br/>
        <w:t>2008, a "Transactional Addendum to the Purchase Contract of July 18, 2008," by which</w:t>
        <w:br/>
        <w:t>the accounting discrepancies that arose after the signing of said contract are resolved […]1.</w:t>
        <w:br/>
        <w:t>The acquired assets have not changed from those that constituted the object of</w:t>
        <w:br/>
        <w:t>acquisition in the previously notified concentration operation.</w:t>
        <w:br/>
        <w:t>The operation is therefore included in the assumption of Article 7.1 b of the LDC.</w:t>
        <w:br/>
        <w:t>II. APPLICABILITY OF LAW 15/2007 ON DEFENSE OF COMPETITION</w:t>
        <w:br/>
        <w:t>According to the notifying party, the operation does not fall within the scope of</w:t>
        <w:br/>
        <w:t>Regulation (EC) No. 139/2004 of the Council, of January 20, on the control of</w:t>
        <w:br/>
        <w:t>concentrations between companies, as it does not exceed the thresholds of Article 1,</w:t>
        <w:br/>
        <w:t>paragraphs 2 and 3 thereof.</w:t>
        <w:br/>
        <w:t>However, the notified operation meets the requirements set forth by Law 15/2007 for</w:t>
        <w:br/>
        <w:t>its notification, as the thresholds established in Articles 8.1 a) and b) of the same are</w:t>
        <w:br/>
        <w:t>exceeded.</w:t>
        <w:br/>
        <w:t>1</w:t>
        <w:br/>
        <w:t>Parts of the report whose exact content has been declared confidential are indicated in brackets.</w:t>
      </w:r>
    </w:p>
    <w:p>
      <w:r>
        <w:rPr>
          <w:b/>
        </w:rPr>
        <w:t>[Pages 4–6]</w:t>
      </w:r>
    </w:p>
    <w:p>
      <w:r>
        <w:t xml:space="preserve">III. PARTICIPATING COMPANIES  </w:t>
        <w:br/>
        <w:t xml:space="preserve">III.1. SUPERMERCADOS SABECO, S.A. (“SABECO”)  </w:t>
        <w:br/>
        <w:t xml:space="preserve">SABECO is a company based in Spain, belonging to the French group AUCHAN, whose parent company, GROUPE AUCHAN, S.A., is owned by the MULLIEZ family, which holds 87.05% of its share capital.  </w:t>
        <w:br/>
        <w:t xml:space="preserve">The MULLIEZ family also controls the groups LEROY MERLIN (retail distribution of DIY and home equipment), KIABI and PIMKIE (retail sale of clothing), DECATHLON (retail sale of sporting goods), NORAUTO (sale of automotive products and services), BOULANGER (retail sale of appliances and related items)2 and AGAPES RESTAURATION (catering).  </w:t>
        <w:br/>
        <w:t xml:space="preserve">The AUCHAN group is primarily active in the retail distribution sector of daily consumer goods in a self-service regime, through the operation of large and medium-sized commercial establishments. It is present in 11 countries.  </w:t>
        <w:br/>
        <w:t xml:space="preserve">According to information provided by the notifier, as of August 29, 2008, the AUCHAN group has 177 retail establishments for daily consumer goods in Spain, specifically, 49 “Alcampo” hypermarkets, 64 “Sabeco” supermarkets, 50 “Simply” supermarkets, 9 “Simply City” stores, 3 “Simply” hypermarkets, and 2 convenience stores “7d”, distributed throughout the national territory.  </w:t>
        <w:br/>
        <w:t xml:space="preserve">Additionally, through its hypermarkets, the AUCHAN group engages in retail activities for products other than daily consumer goods, such as bazaar products, textiles, home goods, appliances, travel agency services, insurance agency services, and photo development. It is also active in the distribution of fuels, through the operation of 25 service stations, which are located next to some of its retail sales centers.  </w:t>
        <w:br/>
        <w:t xml:space="preserve">Finally, it should be noted that AUCHAN sources the daily consumer products that it subsequently sells directly from its suppliers through its own purchasing structure.  </w:t>
        <w:br/>
        <w:t xml:space="preserve">The turnover of the AUCHAN group in the last financial year, according to Article 5 of Royal Decree 261/2008, is, according to the notifier, as follows:  </w:t>
        <w:br/>
        <w:t xml:space="preserve">2 Except for the BOULANGER business in Spain, which has been recently acquired by the SONAE group.  </w:t>
        <w:br/>
        <w:t xml:space="preserve">Operation notified to the CNC on August 22, 2008 (C-0096/08 SONAE/BOULANGER) and authorized in the first phase on September 3, 2008.  </w:t>
        <w:br/>
        <w:t>3.</w:t>
      </w:r>
    </w:p>
    <w:p>
      <w:r>
        <w:t xml:space="preserve">AUCHAN TURNOVER. 2007  </w:t>
        <w:br/>
        <w:t xml:space="preserve">(Million euros)  </w:t>
        <w:br/>
        <w:t xml:space="preserve">WORLDWIDE EU SPAIN  </w:t>
        <w:br/>
        <w:t xml:space="preserve">[&gt;2,500] [&gt;250] [&gt;60]  </w:t>
        <w:br/>
        <w:t xml:space="preserve">Source: Notification  </w:t>
        <w:br/>
        <w:t xml:space="preserve">III.2. GALERIAS PRIMERO, S.A.  </w:t>
        <w:br/>
        <w:t xml:space="preserve">GALERIAS PRIMERO is a Spanish company controlled by the CAJA DE AHORROS DE LA INMACULADA DE ARAGON, which holds 92% of the shares3. CAI, Desarrollo Empresarial S.C.R., S.A., a company participated by the Caja de Ahorros de la Inmaculada de Aragón, holds the remaining 8%.  </w:t>
        <w:br/>
        <w:t xml:space="preserve">GALERIAS PRIMERO is active in the retail distribution sector of daily consumer goods in a self-service regime, for which it has 81 establishments4, mainly located in Aragón5.  </w:t>
        <w:br/>
        <w:t xml:space="preserve">Regarding its procurement activities, GALERIAS PRIMERO is supplied through the purchasing center EUROMADI.  </w:t>
        <w:br/>
        <w:t xml:space="preserve">The turnover of GALERIAS PRIMERO in the last financial year, according to Article 5 of Royal Decree 261/2008, is, according to the notifier, as follows:  </w:t>
        <w:br/>
        <w:t xml:space="preserve">TURNOVER OF GALERIAS PRIMERO. 2007  </w:t>
        <w:br/>
        <w:t xml:space="preserve">(Million euros)  </w:t>
        <w:br/>
        <w:t xml:space="preserve">WORLDWIDE EU SPAIN  </w:t>
        <w:br/>
        <w:t xml:space="preserve">185.7 185.7 185.7  </w:t>
        <w:br/>
        <w:t xml:space="preserve">Source: Notification  </w:t>
        <w:br/>
        <w:t xml:space="preserve">IV. RELEVANT MARKETS  </w:t>
        <w:br/>
        <w:t xml:space="preserve">IV.1 Product Market  </w:t>
        <w:br/>
        <w:t xml:space="preserve">The activities of the acquiring and acquired group focus on the retail distribution of daily consumer goods.  </w:t>
        <w:br/>
        <w:t xml:space="preserve">Additionally, in order to fully appreciate the effects of the operation, it is necessary to analyze the upstream market for the procurement of daily consumer goods, given the interdependence between distribution and the supply of such products, as highlighted by the Commission6 as well as  </w:t>
        <w:br/>
        <w:t xml:space="preserve">3 On July 30, 2008, NOZAR S.A., until then the controlling shareholder of the acquired company, sold its shareholding, representing 60% of the share capital of GALERIAS PRIMERO, to Caja de Ahorros de la Inmaculada de Aragón.  </w:t>
        <w:br/>
        <w:t xml:space="preserve">4 In these, GALERIAS PRIMERO also sells appliances.  </w:t>
        <w:br/>
        <w:t xml:space="preserve">5 GALERIAS PRIMERO has 74 establishments in Aragón, 3 in Rioja and Navarra, and 1 in Castilla León (Soria).  </w:t>
        <w:br/>
        <w:t xml:space="preserve">6 Case No. IV/M.946 INTERMARCHÉ/SPAR; case No. IV/M.991 PROMODES/CASINO; case No. IV/M.1221 REWE/MEINL.  </w:t>
        <w:br/>
        <w:t>4.</w:t>
      </w:r>
    </w:p>
    <w:p>
      <w:r>
        <w:t xml:space="preserve">by the Spanish competition authorities7.  </w:t>
        <w:br/>
        <w:t xml:space="preserve">IV.1.1. Market for the Retail Distribution of Daily Consumer Goods  </w:t>
        <w:br/>
        <w:t xml:space="preserve">Retail distribution activity consists of selling a more or less diversified range of food and non-food products (household goods, perfumery, home, hygiene, etc.) for daily consumption, in premises of various characteristics and sizes, such as hypermarkets, supermarkets, proximity self-services, specialized stores, traditional shops, markets, service stations, etc.  </w:t>
        <w:br/>
        <w:t xml:space="preserve">When delimiting the relevant market, it is necessary to consider whether the retail distribution of daily consumer goods includes all the aforementioned forms of distribution or whether it is appropriate to distinguish narrower markets based on, among other possible criteria, the breadth of the product assortment offered, the extent of the sales area, or the services provided.  </w:t>
        <w:br/>
        <w:t xml:space="preserve">The now-defunct SDC and TDC8 have considered that the market for the retail distribution of daily consumer products in a self-service format, which would include various forms of retail sales without personalized assistance, constitutes a distinct product market from that of selling products in a traditional format (small establishments and personalized assistance) and from that of selling through specialized establishments, due to the asymmetric competition existing between them.  </w:t>
        <w:br/>
        <w:t xml:space="preserve">Thus, the market for the retail distribution of daily consumer products in a self-service format would be composed of all those sales areas where it is possible to supply all types of daily consumer goods, both food and non-food, without the intermediation of a person responsible for serving customers. Specifically, this market includes proximity services (self-services with sales areas of less than 400 m2), medium-sized establishments (supermarkets with sales areas between 400 m2 and 2,500 m2), large establishments (hypermarkets with a retail sales area exceeding 2,500 m2), and discount stores.  </w:t>
        <w:br/>
        <w:t xml:space="preserve">IV.1.2. Market for the Supply of Daily Consumer Goods  </w:t>
        <w:br/>
        <w:t xml:space="preserve">The supply market includes the sale of daily consumer goods by the producers of such goods to their customers: the wholesale and retail distributors of these products.  </w:t>
        <w:br/>
        <w:t xml:space="preserve">From the demand perspective, the different products or groups of products are not substitutes for each other, so each of them could constitute a different market. However, considering the homogeneity of demand, which does not vary substantially from one product group to another, the European Commission has considered  </w:t>
        <w:br/>
        <w:t xml:space="preserve">7 Among others, economic concentration files N-230 CAPRABO/ENACO, N-140 PIO CORONADO/CEMETRO, N-03015 DIA/EL ARBOL, N-07075 DINOSOL/HERDISA (ASSETS), etc.  </w:t>
        <w:br/>
        <w:t xml:space="preserve">8 TDC reports relating to economic concentration files C52/00 CARREFOUR/PROMODÉS, C64/01 PÍO CORONADO/CEMETRO, C83/03 CAPRABO/ALCOSTO.  </w:t>
        <w:br/>
        <w:t>5.</w:t>
      </w:r>
    </w:p>
    <w:p>
      <w:r>
        <w:rPr>
          <w:b/>
        </w:rPr>
        <w:t>[Pages 7–9]</w:t>
      </w:r>
    </w:p>
    <w:p>
      <w:r>
        <w:t>that, in certain cases, it would be sufficient to assess the purchasing power of the parties in relation to the overall daily consumer goods9. In the case at hand, AUCHAN procures daily consumer goods which it subsequently resells to end consumers through its own purchasing structure, while GALERIAS PRIMERO does so through the purchasing center10 EUROMADI.</w:t>
      </w:r>
    </w:p>
    <w:p>
      <w:r>
        <w:t>IV.2. Geographic Market</w:t>
        <w:br/>
        <w:t>IV.2.1. Retail Distribution Market for Daily Consumer Goods</w:t>
        <w:br/>
        <w:t>As determined in the aforementioned national and community precedents, the geographic scope of the retail distribution market for daily consumer goods in a self-service regime is local.</w:t>
      </w:r>
    </w:p>
    <w:p>
      <w:r>
        <w:t>From the consumer's perspective, the choice of a point of sale will be limited by the geographic area to which it is reasonable to travel to make a specific purchase. Hence, for practical reasons, the end consumer will choose a point of sale close to their home for small purchases, while for larger purchases, they will opt for a larger radius of action.</w:t>
      </w:r>
    </w:p>
    <w:p>
      <w:r>
        <w:t>The exact delimitation of the local market scope must be carried out on a case-by-case basis, starting from those centers where the affected companies operate and taking into account the type of sales area to be considered and the characteristics of its surroundings. In principle, a broader territorial analysis seems appropriate in the case of localities that have a large commercial establishment nearby and in those where there is proven commercial dependence with other nearby populations. Such consideration also makes sense in residential areas, where the use of vehicles is part of the daily life of its inhabitants, as car trips for most of their activities are common.</w:t>
      </w:r>
    </w:p>
    <w:p>
      <w:r>
        <w:t>The defunct TDC, in the Reports on Large Establishments (GS) it has been conducting since the entry into force of Law 7/1996 on the Regulation of Retail Trade, when analyzing the existing competitive conditions in the market where the new GS will operate, delineates the relevant geographic market based on isochrones11. Specifically, the defunct TDC considers that the isochrone will be 15 minutes, in the event that the GS is located in an urban center, extending up to 30 minutes when the GS is situated in rural centers or when there is no other GS in the considered area.</w:t>
      </w:r>
    </w:p>
    <w:p>
      <w:r>
        <w:t>However, in previous concentration reports, the defunct TDC has indicated that limiting the examination to local markets may not reflect the competitive impact of a concentration when a large number of local markets affected by the operation are so interrelated that they overlap and seamlessly cover a broader area, even reaching the territory of a province, an Autonomous Community, or ultimately the nation. Under these circumstances, the geographic scope would encompass a region or the entire national territory.</w:t>
      </w:r>
    </w:p>
    <w:p>
      <w:r>
        <w:t>In the case at hand, it is considered that the relevant geographic scope for the analysis of the operation under review is the retail distribution market for daily consumer goods in those local areas where the commercial establishments of GALERIAS PRIMERO coincide with existing establishments of the AUCHAN group. In these areas, the operation is likely to generate an addition to market share and, therefore, a modification of the competitive structure.</w:t>
      </w:r>
    </w:p>
    <w:p>
      <w:r>
        <w:t>According to the information provided by the notifier, the population centers where there is an overlap between the retail distribution activities of the AUCHAN group and GALERIAS PRIMERO are as follows: Zaragoza, Tarazona, Ejea de los Caballeros, Calatayud, Utebo, Alcañiz, and Huesca (Autonomous Community of Aragón), Logroño, and Calahorra (La Rioja)12.</w:t>
      </w:r>
    </w:p>
    <w:p>
      <w:r>
        <w:t>Following the methodology employed by the defunct TDC13, the notifier has initially conducted an analysis of the resulting shares at the municipal scale14, identifying two types of municipalities: those in which the concentration operation does not pose a risk of hindering the maintenance of effective competition, as the resulting share from the operation does not exceed 30% of the considered municipal area15, and those in which the combined share exceeds this figure, which are subsequently analyzed in more detail to define the relevant geographic market.</w:t>
      </w:r>
    </w:p>
    <w:p>
      <w:r>
        <w:t>12 In the initial notification of the operation (file C/0095/08 SABECO/GALERIAS PRIMERO), Soria appeared as a locality where overlap occurred with a share of 15.3%. However, the notifier rectifies this by discarding such overlap as SABECO does not have retail distribution establishments in that locality.</w:t>
      </w:r>
    </w:p>
    <w:p>
      <w:r>
        <w:t>13 Concentration files C83/03 CAPREBO/ALCOSTO, C100/06 CARREFOUR/DINOSOL, and C107/07 EROKI/CAPRABO.</w:t>
      </w:r>
    </w:p>
    <w:p>
      <w:r>
        <w:t>14 Without this meaning that the notifying entity identifies each municipality with the relevant market from a geographic perspective. In this regard, the defunct TDC in the aforementioned cases has expressly insisted that the municipal scale analysis "does not imply that the Tribunal considers the municipality to be identified for the purposes of this concentration with the relevant market from a geographic perspective. In certain cases, this preliminary check at the municipal level could be considered a sufficient condition for the absence of obstacles to the maintenance of effective competition, not a necessary condition."</w:t>
      </w:r>
    </w:p>
    <w:p>
      <w:r>
        <w:t>15 The 30% municipal threshold is used by the defunct TDC to focus the analysis on those areas where the operation results in a relatively significant position of the parties from a structural perspective.</w:t>
      </w:r>
    </w:p>
    <w:p>
      <w:r>
        <w:t>It should be noted that the shares provided in this notification differ from the information contained in the previous notification (file C/0095/08 SABECO/GALERIAS PRIMERO) regarding the same concentration. These differences are generally due to the inclusion of new localities and/or establishments that modify the structure of each of the relevant local markets and their corresponding areas of influence.</w:t>
      </w:r>
    </w:p>
    <w:p>
      <w:r>
        <w:t>Notwithstanding the above, this Directorate of Investigation will analyze the operation in accordance with the previous notification16.</w:t>
      </w:r>
    </w:p>
    <w:p>
      <w:r>
        <w:t>According to this information, the following tables show the resulting shares from the operation in the nine municipalities where there is overlap between the establishments of the AUCHAN group and GALERIAS PRIMERO. The first table includes those municipalities where the resulting share from the operation does not exceed 30%, and in the second, those that do exceed it.</w:t>
      </w:r>
    </w:p>
    <w:p>
      <w:r>
        <w:t>JOINT SHARE NOT EXCEEDING 30%</w:t>
        <w:br/>
        <w:t>Municipalities AUCHAN GALERIAS PRIMERO Total Share</w:t>
        <w:br/>
        <w:t>Calahorra [10-20]% [10-20]% [20-30]%</w:t>
        <w:br/>
        <w:t>Huesca [0-10]% [10-20]% [20-30]%</w:t>
        <w:br/>
        <w:t>Source: Notifier</w:t>
      </w:r>
    </w:p>
    <w:p>
      <w:r>
        <w:t>JOINT SHARE EXCEEDING 30%</w:t>
        <w:br/>
        <w:t>Municipalities AUCHAN GALERIAS PRIMERO Total Share</w:t>
        <w:br/>
        <w:t>Calatayud [20-30]% [30-40]% [60-70]%</w:t>
        <w:br/>
        <w:t>Alcañiz [20-30]% [30-40]% [50-60]%</w:t>
        <w:br/>
        <w:t>Utebo [40-50]% [0-10]% [50-60]%</w:t>
        <w:br/>
        <w:t>Ejea de los Caballeros [30-40]% [20-30]% [50-60]%</w:t>
        <w:br/>
        <w:t>Zaragoza [10-20]% [20-30]% [40-50]%</w:t>
        <w:br/>
        <w:t>Tarazona [20-30]% [10-20]% [30-40]%</w:t>
        <w:br/>
        <w:t>Logroño [30-40]% [0-10]% [30-40]%</w:t>
        <w:br/>
        <w:t>Source: Notifier</w:t>
      </w:r>
    </w:p>
    <w:p>
      <w:r>
        <w:t>For the seven municipalities where the combined share resulting from the operation exceeds 30%, the notifier has identified the following six17 geographic areas:</w:t>
      </w:r>
    </w:p>
    <w:p>
      <w:r>
        <w:t>1. Calatayud (Zaragoza) and its area of influence, formed by those localities situated within a 30-minute driving radius from that locality18 due to the dependence of its commercial structure, which includes, among others, a large sales area totaling 3,023 m2 and a supermarket of 1,823 m2.</w:t>
      </w:r>
    </w:p>
    <w:p>
      <w:r>
        <w:t>16 In any case, the shares provided by the notifier would not alter the analysis of the operation.</w:t>
      </w:r>
    </w:p>
    <w:p>
      <w:r>
        <w:t>17 The municipality of Utebo would be integrated into the isochrone defined around Zaragoza.</w:t>
      </w:r>
    </w:p>
    <w:p>
      <w:r>
        <w:t>18 Including, among others, the populations of Cella, Acered, Alhama de Aragón, Almonacid de la Sierra, La Almunia de Dona Godina, Alpartir, Ateca, Brea de Aragón, Calatorao, Illera, Mara, Morata de Jalón, Paracuellos de Jiloca, and...</w:t>
      </w:r>
    </w:p>
    <w:p>
      <w:r>
        <w:rPr>
          <w:b/>
        </w:rPr>
        <w:t>[Pages 10–12]</w:t>
      </w:r>
    </w:p>
    <w:p>
      <w:r>
        <w:t>In file C107/07 EROSKI/CAPRABO19, the defunct TDC, when analyzing the geographical scope of La Almunia de Doña Godina, pointed out the possibility that this locality could be integrated into the area of influence of Calatayud, a town located 34 km away but which acts as a magnet for residents of nearby municipalities that are well connected (via the A-2) such as La Almunia and the surrounding villages.</w:t>
      </w:r>
    </w:p>
    <w:p>
      <w:r>
        <w:t>This Directorate of Investigation considers, however, that a 30-minute driving isochrone may be excessively broad given the commercial structure of Calatayud, which is based on a small hypermarket and a supermarket, and therefore estimates a narrower isochrone of around 15 minutes to be more appropriate. In any case, this Directorate of Investigation will analyze both market alternatives.</w:t>
      </w:r>
    </w:p>
    <w:p>
      <w:r>
        <w:t>2. Alcañiz (Teruel) and its area of influence, consisting of those localities (with establishments of less than 1,000 m2, except for one of 1,650 m2 of GALERIAS PRIMERO located in Andorra) situated within a 30-minute driving radius from Alcañiz20, due to the dependence on its commercial structure, which includes an establishment of 2,696 m2 of total retail sales area.</w:t>
      </w:r>
    </w:p>
    <w:p>
      <w:r>
        <w:t>As in the case of Calatayud, this Directorate considers that the isochrone defined by the notifier around the locality of Alcañiz is excessively broad given the commercial structure of this locality, which is based on a small hypermarket, and therefore estimates a narrower isochrone of around 15 minutes of driving to be more appropriate. In any case, this Directorate of Investigation will analyze both market alternatives.</w:t>
      </w:r>
    </w:p>
    <w:p>
      <w:r>
        <w:t>3. Ejea de los Caballeros (Zaragoza) and its area of influence, formed by those localities located within a 30-minute driving radius21, due to the commercial attraction exerted by three medium-sized establishments (of 2,487, 1,533, and 1,210 m2 of sales) located in that town (with 17,000 inhabitants) on the population of nearby municipalities (all of which have fewer than 2,000 inhabitants, except for Tauste which has 7,000) and with establishments of less than 1,000 m2.</w:t>
      </w:r>
    </w:p>
    <w:p>
      <w:r>
        <w:t>As in the previous cases, this Directorate of Investigation estimates that the geographical scope defined by the notifier around the locality of Ejea de los Caballeros is excessively broad, considering a 15-minute driving isochrone to be more appropriate given the commercial structure of this locality. However, both market alternatives will be analyzed.</w:t>
      </w:r>
    </w:p>
    <w:p>
      <w:r>
        <w:t>4. Zaragoza and its area of influence, which includes the localities situated within a 30-minute driving radius22, among which is Utebo23, due to the fact that nine of the ten large commercial establishments existing in the province of Zaragoza are located in this city (the tenth is in Calatayud)24, five of them with a sales area exceeding 10,000 m2.</w:t>
      </w:r>
    </w:p>
    <w:p>
      <w:r>
        <w:t>This Directorate of Investigation considers that the overlap of the areas of influence of these establishments could justify the isochrone proposed by the notifier. However, the possibility of segmenting the market defined around Zaragoza into narrower zones that group municipalities located in geographically close areas and that present homogeneous socioeconomic and commercial characteristics has been analyzed.</w:t>
      </w:r>
    </w:p>
    <w:p>
      <w:r>
        <w:t>To this end, the notifier points out that Zaragoza does not have a true residential or commercial fabric in its surroundings25. Furthermore, access to the city has recently been improved by the development of new infrastructures (such as the Z-40 highway, also known as the "fourth belt"), which has contributed to further integrating the neighborhoods of this city26, leading to the conclusion that the proposed segmentation is not appropriate.</w:t>
      </w:r>
    </w:p>
    <w:p>
      <w:r>
        <w:t>5. Tarazona (Zaragoza) and its surroundings. This locality of approximately 10,000 inhabitants and with establishments of sales area less than 1,000 m2 would be included in the area of influence of Tudela (Navarra), located 23 km from Tarazona (approximately 25 minutes) and which has three large commercial establishments (two of them over 6,000 m2). The considered isochrone would include the localities situated within a 30-minute driving radius from Tudela, including Tarazona.</w:t>
      </w:r>
    </w:p>
    <w:p>
      <w:r>
        <w:t>This territorial scope was accepted by the defunct SDC and TDC during the analysis of file N-07060 EROSKI/CAPRABO in relation to the locality of Tudela.</w:t>
      </w:r>
    </w:p>
    <w:p>
      <w:r>
        <w:t>6. Logroño and its area of influence, formed by those localities situated within a 30-minute driving radius due to the influence exerted by two large commercial establishments located in that town, of 11,433 and 8,682 m2.</w:t>
      </w:r>
    </w:p>
    <w:p>
      <w:r>
        <w:t>The isochrone proposed by the notifier includes Calahorra, a locality that has two large commercial establishments (of 6,281 and 2,700 m2), which leads the notifier to propose the possibility that this municipality constitutes a distinct relevant market.</w:t>
      </w:r>
    </w:p>
    <w:p>
      <w:r>
        <w:t>This Directorate of Investigation does not consider it necessary to close the geographical scope in which the existing establishments in Logroño are integrated, as the assessment of the impact of the operation does not change in either scenario. In any case, alternative scenarios will be studied.</w:t>
      </w:r>
    </w:p>
    <w:p>
      <w:r>
        <w:t>In summary, regardless of the geographical delimitation proposed by the notifier, this Directorate of Investigation will provide information on other alternative geographical scopes in order to assess the scope of the operation in all possible geographical alternatives. Additionally, information regarding the national, regional, and provincial market will be provided.</w:t>
      </w:r>
    </w:p>
    <w:p>
      <w:r>
        <w:t>IV.2.2. Market for the supply of daily consumer goods</w:t>
        <w:br/>
        <w:t>The competition authorities have established in the aforementioned precedents that the supply of daily consumer products by retail distribution companies is usually carried out on a national scale, either through a purchasing center or through the group to which these companies belong.</w:t>
      </w:r>
    </w:p>
    <w:p>
      <w:r>
        <w:t>V. MARKET ANALYSIS</w:t>
        <w:br/>
        <w:t>V.1. Structure of the supply</w:t>
        <w:br/>
        <w:t>V.1.1. Market for the retail distribution of daily consumer goods</w:t>
        <w:br/>
        <w:t>The Spanish retail distribution market has the presence of a large number of operators, some of which belong to multinational groups that, in any case, have a smaller presence in Spain than in other countries.</w:t>
      </w:r>
    </w:p>
    <w:p>
      <w:r>
        <w:t>This market is also characterized by its gradual process of concentration, which, however, remains at low levels compared to other European countries.</w:t>
      </w:r>
    </w:p>
    <w:p>
      <w:r>
        <w:t>According to data collected by ALIMARKET in its latest yearbook on the commercial distribution sector27, the national organized retail distribution market consists of 19,140 establishments and/or sections of fast-moving consumer goods28, with a total retail sales area of 10,973,239 m2. Compared to the previous year, the increase in retail area was 2%, while the number of establishments decreased by 1.5%.</w:t>
      </w:r>
    </w:p>
    <w:p>
      <w:r>
        <w:t xml:space="preserve">27 ALIMARKET number 215. March 2008. </w:t>
        <w:br/>
        <w:t>28 Fast-moving consumer goods or "FMCG" are considered to be the retail space that hypermarkets and large supermarkets dedicate to the sale of FMCG, including dry and fresh food, household cleaning and personal care products, as well as light bazaar items. Sections of large establishments that offer large household equipment, appliances, textiles, automotive products, toys, or other leisure and seasonal items are excluded.</w:t>
      </w:r>
    </w:p>
    <w:p>
      <w:r>
        <w:rPr>
          <w:b/>
        </w:rPr>
        <w:t>[Pages 13–15]</w:t>
      </w:r>
    </w:p>
    <w:p>
      <w:r>
        <w:t>The following table lists the main operators in the Spanish market for retail distribution of daily consumer goods in a self-service regime, according to sales area (m2).</w:t>
      </w:r>
    </w:p>
    <w:p>
      <w:r>
        <w:t>STRUCTURE OF THE SPANISH RETAIL DISTRIBUTION MARKET</w:t>
        <w:br/>
        <w:t>According to sales area (m2) as of 12/31/2007*</w:t>
      </w:r>
    </w:p>
    <w:p>
      <w:r>
        <w:t>Company No. of Establishments Area (m2) Share</w:t>
        <w:br/>
        <w:t>CARREFOUR 3,163 2,006,627 18.29%</w:t>
        <w:br/>
        <w:t>MERCADONA 1,137 1,474,775 13.44%</w:t>
        <w:br/>
        <w:t>EROSKI 1,738 1,332,234 12.14%</w:t>
        <w:br/>
        <w:t>EL CORTE INGLES 318 485,990 4.43%</w:t>
        <w:br/>
        <w:t>AUCHAN 288 403,714 3.68%</w:t>
        <w:br/>
        <w:t>CONSUM 568 393,145 3.58%</w:t>
        <w:br/>
        <w:t>LIDL 438 360,823 3.29%</w:t>
        <w:br/>
        <w:t>DINOSOL 422 316,433 2.88%</w:t>
        <w:br/>
        <w:t>COVIRAN 1,811 278,043 2.53%</w:t>
        <w:br/>
        <w:t>GRUPO EL ARBOL 339 204,607 1.86%</w:t>
        <w:br/>
        <w:t>Others … … …</w:t>
        <w:br/>
        <w:t>GALERIAS PRIMERO 80 85,078 0.78%</w:t>
        <w:br/>
        <w:t>TOTAL 19,140 10,973,239 100%</w:t>
      </w:r>
    </w:p>
    <w:p>
      <w:r>
        <w:t>Source: Own elaboration based on ALIMARKET (No. 215. March 2008).</w:t>
        <w:br/>
        <w:t>*Only the area dedicated to PGC (Products of Large Consumption) in hypermarkets and large supermarkets with non-food sections equal to or greater than 20% of their total area is counted.</w:t>
      </w:r>
    </w:p>
    <w:p>
      <w:r>
        <w:t>Next, the structure of the market for retail distribution of daily consumer goods in a self-service regime in the Autonomous Communities of Aragón and La Rioja is shown, where there is overlap between the AUCHAN group and GALERIAS PRIMERO.</w:t>
      </w:r>
    </w:p>
    <w:p>
      <w:r>
        <w:t>STRUCTURE OF THE RETAIL DISTRIBUTION MARKET IN THE AFFECTED AUTONOMOUS COMMUNITIES. According to sales area (m2) as of 12/31/2007*</w:t>
      </w:r>
    </w:p>
    <w:p>
      <w:r>
        <w:t>GALERIAS AUCHAN Main competitors.</w:t>
        <w:br/>
        <w:t>Autonomous Community PRIMERO.</w:t>
        <w:br/>
        <w:t>Share (%) Share (%)</w:t>
        <w:br/>
        <w:t>Share (%)</w:t>
        <w:br/>
        <w:t>Carrefour 14.4%</w:t>
        <w:br/>
        <w:t>Aragón 17.2% 22%</w:t>
        <w:br/>
        <w:t>Eroski 13.9%</w:t>
        <w:br/>
        <w:t>Eroski 27.6%</w:t>
        <w:br/>
        <w:t>La Rioja 21.4% 3.9%</w:t>
        <w:br/>
        <w:t>Carrefour 17.5%</w:t>
      </w:r>
    </w:p>
    <w:p>
      <w:r>
        <w:t>Source: Own elaboration based on ALIMARKET (No. 215. March 2008. For Castilla León, data provided by the notifier. *Only the area dedicated to PGC (Products of Large Consumption) in hypermarkets and large supermarkets with non-food sections equal to or greater than 20% of their total area is counted.</w:t>
      </w:r>
    </w:p>
    <w:p>
      <w:r>
        <w:t>ALIMARKET since 2003 uses a series of parameters to calculate the commercial area that large establishments (hypermarkets and large supermarkets) dedicate to the sale of large consumption products. Generally, ALIMARKET attributes 50% of the area of hypermarkets with a total sales area exceeding 5,000m2, 60% of the area of hypermarkets between 2,500 and 5,000m2, and 80% of the area of large supermarkets with a size between 2,000 and 2,500 m2.</w:t>
      </w:r>
    </w:p>
    <w:p>
      <w:r>
        <w:t>The following table shows the structure of the market for retail distribution of daily consumer goods in a self-service regime in the province of Zaragoza, particularly involved in the operation.</w:t>
      </w:r>
    </w:p>
    <w:p>
      <w:r>
        <w:t>STRUCTURE OF THE RETAIL DISTRIBUTION MARKET IN THE PROVINCE OF ZARAGOZA. According to sales area (m2) *</w:t>
      </w:r>
    </w:p>
    <w:p>
      <w:r>
        <w:t>Company No. of Establishments Area (m2) Share</w:t>
        <w:br/>
        <w:t>GALERIAS PRIMERO 64 66,413 25.57%</w:t>
        <w:br/>
        <w:t>AUCHAN 29 42,756 16.46%</w:t>
        <w:br/>
        <w:t>CARREFOUR 88 42,145 16.23%</w:t>
        <w:br/>
        <w:t>EROSKI 50 33,731 12.99%</w:t>
        <w:br/>
        <w:t>MERCADONA 19 25,408 9.78%</w:t>
        <w:br/>
        <w:t>EL CORTE INGLES 8 12,000 4.62%</w:t>
        <w:br/>
        <w:t>SPAR 69 9,295 3.58%</w:t>
        <w:br/>
        <w:t>LIDL 10 7,775 2.99%</w:t>
        <w:br/>
        <w:t>ALDI 3 3,600 1.39%</w:t>
        <w:br/>
        <w:t>Others 96 16,624 6.40%</w:t>
        <w:br/>
        <w:t>TOTAL 436 259,747 100%</w:t>
      </w:r>
    </w:p>
    <w:p>
      <w:r>
        <w:t>Source: Notifier, based on the census of establishments from ALIMARKET updated to February 2008.</w:t>
        <w:br/>
        <w:t>*Only the area dedicated to PGC (Products of Large Consumption) in hypermarkets and large supermarkets with non-food sections equal to or greater than 20% of their total area is counted.</w:t>
      </w:r>
    </w:p>
    <w:p>
      <w:r>
        <w:t>Next, the relevant local areas for the operation are analyzed. For this purpose, the data provided by the notifier, based on the census prepared by AC NIELSEN, is taken, to which a reduction coefficient has been applied to reflect the part of the establishments that is not allocated to the sale of daily consumer goods.</w:t>
      </w:r>
    </w:p>
    <w:p>
      <w:r>
        <w:t>The following table shows the shares of AUCHAN and GALERIAS PRIMERO in the retail distribution market of the six geographical areas considered relevant for the operation.</w:t>
      </w:r>
    </w:p>
    <w:p>
      <w:r>
        <w:t>STRUCTURE OF THE RETAIL DISTRIBUTION MARKET IN THE AFFECTED GEOGRAPHICAL AREAS. 2006. According to sales area (m2)</w:t>
      </w:r>
    </w:p>
    <w:p>
      <w:r>
        <w:t>AUCHAN GALERIAS PRIMERO TOTAL Main</w:t>
        <w:br/>
        <w:t>Geographical Areas</w:t>
        <w:br/>
        <w:t>Share (%) Share (%) Share (%) Competitor (%)</w:t>
        <w:br/>
        <w:t>Calatayud + 15-minute isochrone 24.5% 35.4% 59.9% Eroski 16.4%</w:t>
        <w:br/>
        <w:t>Alcañiz + 15-minute isochrone 26% 31.9% 57.9% Mercadona 15.5%</w:t>
        <w:br/>
        <w:t>56.2%</w:t>
        <w:br/>
        <w:t>Ejea + 15-minute isochrone 32% 24.2% Mercadona 13.7%</w:t>
        <w:br/>
        <w:t>Zaragoza + 30-minute isochrone 17.5% 24.3% 41.8% Carrefour 14.8%</w:t>
        <w:br/>
        <w:t>Tarazona (Tudela + 30-minute isochrone) 10.6% 3.7% 14.3% -----</w:t>
        <w:br/>
        <w:t>Logroño + 30-minute isochrone (with Calahorra) 23.6% 3.8% 27.3% -----</w:t>
      </w:r>
    </w:p>
    <w:p>
      <w:r>
        <w:t>Following the methodology of ALIMARKET, the notifier applies a coefficient of 0.50 on the area of hypermarkets over 5,000m2, 0.40 for establishments between 2,500 and 5,000m2, and 0.20 for establishments between 2,000 and 2,500 m2.</w:t>
      </w:r>
    </w:p>
    <w:p>
      <w:r>
        <w:t>From the previous table, it can be inferred that the highest joint shares are reached in the areas defined around Calatayud, Alcañiz, Ejea de los Caballeros, and Zaragoza.</w:t>
      </w:r>
    </w:p>
    <w:p>
      <w:r>
        <w:t>1. Calatayud and its area of influence</w:t>
        <w:br/>
        <w:t>The market defined around Calatayud by a 15-minute driving isochrone has a retail sales area of approximately 7,414 m2, of which 1,813 m2 correspond to an establishment of the AUCHAN group, representing 24.4% of the market. The operation will involve the acquisition of the main operator in the isochrone, GALERIAS PRIMERO, which has two retail establishments (of 1,823 and 802 m2) and a share of 35.4%, so the resulting share from the operation will reach 59.9% of the considered market.</w:t>
      </w:r>
    </w:p>
    <w:p>
      <w:r>
        <w:t>The structure of this geographical area is reflected in the following table:</w:t>
      </w:r>
    </w:p>
    <w:p>
      <w:r>
        <w:t>STRUCTURE OF THE RETAIL DISTRIBUTION MARKET IN CALATAYUD AND ITS AREA OF INFLUENCE</w:t>
        <w:br/>
        <w:t>According to sales area in m2</w:t>
      </w:r>
    </w:p>
    <w:p>
      <w:r>
        <w:t>Operator No. of Stores Area (m2) Share</w:t>
        <w:br/>
        <w:t>GALERIAS PRIMERO 2 2,625 35.4%</w:t>
        <w:br/>
        <w:t>AUCHAN 1 1,813 24.5%</w:t>
        <w:br/>
        <w:t>GALERIAS PRIMERO + AUCHAN 3 4,438 59.9%</w:t>
        <w:br/>
        <w:t>EROSKI 2 1,217 16.4%</w:t>
        <w:br/>
        <w:t>CARREFOUR 3 1,207 16.3%</w:t>
        <w:br/>
        <w:t>SCHLECKER 3 451 6.1%</w:t>
        <w:br/>
        <w:t>COVALCO 1 100 1.3%</w:t>
        <w:br/>
        <w:t>Total 12 7,414 100%</w:t>
      </w:r>
    </w:p>
    <w:p>
      <w:r>
        <w:t>Source: Notifier, based on AC NIELSEN</w:t>
      </w:r>
    </w:p>
    <w:p>
      <w:r>
        <w:t>In the case of considering a broader isochrone of 30 minutes of driving, the retail sales area considered would be 17,214 m2 and the resulting share from the operation would reach 37.2% of the market. By way of indication, the resulting share from the operation reaches 60.7% of the retail distribution market of Calatayud.</w:t>
      </w:r>
    </w:p>
    <w:p>
      <w:r>
        <w:t>2. Alcañiz and its area of influence</w:t>
        <w:br/>
        <w:t>The following table shows the market shares of AUCHAN, GALERIAS...</w:t>
      </w:r>
    </w:p>
    <w:p>
      <w:r>
        <w:rPr>
          <w:b/>
        </w:rPr>
        <w:t>[Pages 16–18]</w:t>
      </w:r>
    </w:p>
    <w:p>
      <w:r>
        <w:t>PRIMERO and its main competitors in the defined isochrone around Alcañiz and with a 15-minute driving radius.</w:t>
      </w:r>
    </w:p>
    <w:p>
      <w:r>
        <w:t>STRUCTURE OF THE RETAIL DISTRIBUTION MARKET IN ALCAÑIZ AND ITS INFLUENCE AREA</w:t>
        <w:br/>
        <w:t>According to sales area in m2</w:t>
        <w:br/>
        <w:t>Operator No. of Stores Area (m2) Share</w:t>
        <w:br/>
        <w:t>GALERIAS PRIMERO 1 1,984 31.9%</w:t>
        <w:br/>
        <w:t>AUCHAN 1 1,617 26.0%</w:t>
        <w:br/>
        <w:t>GALERIAS PRIMERO + AUCHAN 2 3,601 57.9%</w:t>
        <w:br/>
        <w:t>MERCADONA 1 964 15.5%</w:t>
        <w:br/>
        <w:t>LIDL 1 500 8.0%</w:t>
        <w:br/>
        <w:t>CARREFOUR 1 400 6.4%</w:t>
        <w:br/>
        <w:t>COVALCO 1 350 5.6%</w:t>
        <w:br/>
        <w:t>ARO ROJO* 1 210 3.4%</w:t>
        <w:br/>
        <w:t>SCHLECKER 1 133 2.1%</w:t>
        <w:br/>
        <w:t>CORP. ALIMENTARIA GUISSONA 1 65 1.0%</w:t>
        <w:br/>
        <w:t>Total 9 6,223 100%</w:t>
        <w:br/>
        <w:t>Source: Notifying party, based on AC NIELSEN</w:t>
        <w:br/>
        <w:t>*The notifying party excludes ARO ROJO establishments from the AUCHAN group, which are included in that group in the annual NIELSEN report.</w:t>
      </w:r>
    </w:p>
    <w:p>
      <w:r>
        <w:t>The area defined around Alcañiz is a small market, with a retail sales area of 6,223 m2. Both AUCHAN and GALERIAS PRIMERO are the main operators in this area, each having establishments of 1,61735 and 1,984 m2 of sales area respectively, providing them with market shares of 26% and 31.9%. The combined share resulting from the operation reaches 57.9%36 of the considered isochrone.</w:t>
      </w:r>
    </w:p>
    <w:p>
      <w:r>
        <w:t>If a 30-minute driving isochrone is considered, the retail sales area would increase to 15,973 m2 and the resulting share from the operation would reach 37.4% of the market37.</w:t>
      </w:r>
    </w:p>
    <w:p>
      <w:r>
        <w:t>In the municipality of Alcañiz, the share would reach 59.9% of the retail distribution market.</w:t>
      </w:r>
    </w:p>
    <w:p>
      <w:r>
        <w:t>3. Ejea de los Caballeros and its influence area</w:t>
        <w:br/>
        <w:t>The following table shows the structure of the retail distribution market in self-service format in the defined isochrone around Ejea de los Caballeros with a 15-minute driving radius.</w:t>
      </w:r>
    </w:p>
    <w:p>
      <w:r>
        <w:t>35 Establishment of 2,696 m2 of total area, without applying the reduction coefficient used to reflect the part of large retail distribution establishments that is allocated to the sale of daily consumer goods.</w:t>
        <w:br/>
        <w:t>36 Of 67.14% (30.18% AUCHAN and 36.96% GALERIAS PRIMERO) according to the cited report from the General Directorate of Commercial Policy.</w:t>
        <w:br/>
        <w:t>37 AUCHAN maintains a single establishment of 1,617 m2 in the considered isochrone, which provides it with a share of 10.1%, and GALERIAS PRIMERO increases the number of its establishments to three (one in Alcañiz, another in Andorra, and another in Caspe) with a combined sales area of 4,365 m2 and a share of 27.3%.</w:t>
      </w:r>
    </w:p>
    <w:p>
      <w:r>
        <w:t>STRUCTURE OF THE RETAIL DISTRIBUTION MARKET IN EJEA DE LOS CABALLEROS AND ITS INFLUENCE AREA</w:t>
        <w:br/>
        <w:t>According to sales area in m2</w:t>
        <w:br/>
        <w:t>Operator No. of Stores Area (m2) Share</w:t>
        <w:br/>
        <w:t>AUCHAN 2 2,825 32%</w:t>
        <w:br/>
        <w:t>GALERIAS PRIMERO 2 2,135 24.25%</w:t>
        <w:br/>
        <w:t>GALERIAS PRIMERO + AUCHAN 4 4,960 56.2%</w:t>
        <w:br/>
        <w:t>MERCADONA 1 1,210 13.7%</w:t>
        <w:br/>
        <w:t>CARREFOUR 2 1,023 11.6%</w:t>
        <w:br/>
        <w:t>EROSKI 1 628 7.1%</w:t>
        <w:br/>
        <w:t>LIDL 1 600 6.8%</w:t>
        <w:br/>
        <w:t>SCHLECKER 2 293 3.3%</w:t>
        <w:br/>
        <w:t>Independent 1 120 1.4%</w:t>
        <w:br/>
        <w:t>Total 12 8,834 100%</w:t>
        <w:br/>
        <w:t>Source: Notifying party, based on AC NIELSEN</w:t>
      </w:r>
    </w:p>
    <w:p>
      <w:r>
        <w:t>The area defined around Ejea de los Caballeros has a retail sales area of 8,834 m2. Both AUCHAN and GALERIAS PRIMERO have two establishments in this area (of 1,99038 and 836 m2 in the case of AUCHAN and of 1,533 and 602 m2 in the case of GALERIAS PRIMERO) and market shares of 32% and 24.25% respectively. The combined share resulting from the operation reaches 56.2%39 of the considered isochrone.</w:t>
      </w:r>
    </w:p>
    <w:p>
      <w:r>
        <w:t>If a 30-minute driving isochrone is considered, the retail sales area would increase to 11,723 m2 and the resulting share from the operation would reach 42.3% of the market40.</w:t>
      </w:r>
    </w:p>
    <w:p>
      <w:r>
        <w:t>In the municipality of Ejea de los Caballeros, the share would reach 54.4% of the retail distribution market in self-service format.</w:t>
      </w:r>
    </w:p>
    <w:p>
      <w:r>
        <w:t>4. Zaragoza and its influence area</w:t>
        <w:br/>
        <w:t>The following table shows the structure of the retail distribution market in self-service format in the defined isochrone around Zaragoza with a 30-minute driving radius.</w:t>
      </w:r>
    </w:p>
    <w:p>
      <w:r>
        <w:t>38 Establishment of 2,487 m2 of total area, without applying the reduction coefficient used to reflect the part of large retail distribution establishments that is allocated to the sale of daily consumer goods.</w:t>
        <w:br/>
        <w:t>39 Of 48.72% (20.03% AUCHAN and 28.70% GALERIAS PRIMERO) according to the cited report from the General Directorate of Commercial Policy.</w:t>
        <w:br/>
        <w:t>40 AUCHAN and GALERIAS PRIMERO will not increase the number of establishments in the considered isochrone (two each), with their shares being 24.10% and 18.21% respectively.</w:t>
      </w:r>
    </w:p>
    <w:p>
      <w:r>
        <w:t>STRUCTURE OF THE RETAIL DISTRIBUTION MARKET IN ZARAGOZA AND ITS INFLUENCE AREA</w:t>
        <w:br/>
        <w:t>According to sales area in m2</w:t>
        <w:br/>
        <w:t>Operator No. of Stores Area (m2) Share</w:t>
        <w:br/>
        <w:t>GALERIAS PRIMERO 55 53,864 24.3%</w:t>
        <w:br/>
        <w:t>AUCHAN 25 38,840 17.5%</w:t>
        <w:br/>
        <w:t>GALERIAS PRIMERO + AUCHAN 80 92,704 41.8%</w:t>
        <w:br/>
        <w:t>CARREFOUR 61 33,311 14.8%</w:t>
        <w:br/>
        <w:t>EROSKI 39 26,243 11.8%</w:t>
        <w:br/>
        <w:t>MERCADONA 18 24,654 11.1%</w:t>
        <w:br/>
        <w:t>EL CORTE INGLES 8 12,431 5.6%</w:t>
        <w:br/>
        <w:t>SCHLECKER 59 8,478 3.8%</w:t>
        <w:br/>
        <w:t>LIDL 9 7,180 3.2%</w:t>
        <w:br/>
        <w:t>ARO ROJO* 18 3,925 1.9%</w:t>
        <w:br/>
        <w:t>COVALCO 12 3,115 1.5%</w:t>
        <w:br/>
        <w:t>Independent 11 2,458 1.1%</w:t>
        <w:br/>
        <w:t>ALDI 3 2,200 1%</w:t>
        <w:br/>
        <w:t>MIQUEL ALIMENTACIÓ 7 1,740 0.8%</w:t>
        <w:br/>
        <w:t>CORP. ALIMENTARIA GUISSONA 19 1,588 0.7%</w:t>
        <w:br/>
        <w:t>SUPERMERCADOS SUPERBIEN 7 1,585 0.7%</w:t>
        <w:br/>
        <w:t>SUC. FERNANDO CALAVIA 2 390 0.2%</w:t>
        <w:br/>
        <w:t>Total 353 222,003 100%</w:t>
        <w:br/>
        <w:t>Source: Notifying party, based on AC NIELSEN</w:t>
        <w:br/>
        <w:t>*The notifying party excludes ARO ROJO establishments from the AUCHAN group, which are included in that group in the annual NIELSEN report.</w:t>
      </w:r>
    </w:p>
    <w:p>
      <w:r>
        <w:t>AUCHAN has a significant presence in the considered area, having 25 establishments that provide it with a share of 17.5%, which will increase upon gaining control over the main operator in the area, GALERIAS PRIMERO, which has 55 points of sale and a share of 24.3%. The combined share resulting from the operation will reach 41.8%41 of the retail distribution market in the defined isochrone around Zaragoza.</w:t>
      </w:r>
    </w:p>
    <w:p>
      <w:r>
        <w:t>The notifying party notes that during the processing of this file, the opening of an EROSKI hypermarket of 10,657 m2 of total sales area in the Plaza Imperial shopping center in Zaragoza has occurred, which reduces the resulting share from the operation to 40.8%.</w:t>
      </w:r>
    </w:p>
    <w:p>
      <w:r>
        <w:t>Additionally, the notifying party indicates that in the short term, the opening of other commercial establishments in the considered isochrone is planned42, a circumstance that will lead to a decrease in the resulting share to 36.9% of the considered market.</w:t>
      </w:r>
    </w:p>
    <w:p>
      <w:r>
        <w:t>Regarding Zaragoza city, the share would reach 42.1% of the retail distribution market.</w:t>
        <w:br/>
        <w:t>41 Of 43.82% (12.50% AUCHAN and 31.32% GALERIAS PRIMERO) according to the report from the General Directorate of Commercial Policy.</w:t>
        <w:br/>
        <w:t>42 […].</w:t>
      </w:r>
    </w:p>
    <w:p>
      <w:r>
        <w:rPr>
          <w:b/>
        </w:rPr>
        <w:t>[Pages 19–21]</w:t>
      </w:r>
    </w:p>
    <w:p>
      <w:r>
        <w:t xml:space="preserve">V.1.2. Market for the Supply of Daily Consumer Goods  </w:t>
        <w:br/>
        <w:t xml:space="preserve">In the case of the supply market, the offer is made up of a heterogeneous group of suppliers whose bargaining power varies depending on the good or service they provide, the brand, or the size, being very relevant in the case of products or brands that are must-stock. To offset this power, purchasing centers are precisely established.  </w:t>
        <w:br/>
        <w:t xml:space="preserve">In the last decade, the importance and number of purchasing centers that include small and independent retailers have grown in order to achieve economies in purchases from suppliers and thus compete more effectively with large retail operators43. Alongside them, large vertically integrated retail distribution groups use their own purchasing power against suppliers by sourcing directly from them44.  </w:t>
        <w:br/>
        <w:t xml:space="preserve">In the case at hand, the AUCHAN group operates through its own purchasing center, with a national share estimated by the notifier at [0-10]%, while GALERIAS PRIMERO belongs to the EUROMADI purchasing center.  </w:t>
        <w:br/>
        <w:t xml:space="preserve">Following the operation, it is expected that GALERIAS PRIMERO will source through the purchasing structure of the acquiring group, which will imply a residual increase in AUCHAN's share in the national supply market (of approximately [0-10]%), resulting in a combined share of both participants of around [0-10]%.  </w:t>
        <w:br/>
        <w:t xml:space="preserve">V.2. Demand Structure  </w:t>
        <w:br/>
        <w:t xml:space="preserve">The demand in the retail distribution market for daily consumer goods is made up of end consumers, individuals who, depending on their characteristics or needs, will go to one type or another of sales outlet.  </w:t>
        <w:br/>
        <w:t xml:space="preserve">Consumers residing in urban areas that are difficult to access by car seek nearby establishments that offer daily consumer goods, so they will typically source through convenience stores or medium-sized outlets. In contrast, residents in peripheral areas look for establishments that they can access by vehicle and where they can make weekly or even monthly supply purchases, so they will primarily head to large sales outlets.  </w:t>
        <w:br/>
        <w:t xml:space="preserve">However, it is worth noting that the demand for different types of sales outlets does not constitute watertight compartments, as consumers may go to large outlets for major supply purchases and use convenience stores for daily use products.  </w:t>
        <w:br/>
        <w:t xml:space="preserve">43 IFA and EUROMADI are the main purchasing centers in Spain, holding 17.9% and 18.2%, respectively, of the national supply market, according to data collected in ALIMARKET related to the retail sales area they supply.  </w:t>
        <w:br/>
        <w:t xml:space="preserve">44 Such is the case of CARREFOUR, EL CORTE INGLES, AUCHAN, or MERCADONA, whose combined share, according to ALIMARKET, amounts to 50.1% of the national supply market. The share of the purchasing center of the EROSKI group amounts to 13.8% of the same.  </w:t>
        <w:br/>
        <w:t xml:space="preserve">The demand in the daily consumer goods supply market is constituted by the retail and wholesale distribution of these products. Generally speaking, the retail distribution market absorbs 50% of the supply market, reaching a percentage of 70% in Spain, according to the now-defunct TDC45. This demand, especially in the case of retail distribution, is made up of a large number of operators, some of whom belong to significant groups active at the multinational level. These, as mentioned earlier, source individually or collectively through purchasing centers.  </w:t>
        <w:br/>
        <w:t xml:space="preserve">V.3. Potential Competition - Barriers to Entry  </w:t>
        <w:br/>
        <w:t xml:space="preserve">Within the commercial distribution sector, the market for the retail sale of daily consumer goods presents the highest barriers to entry, basically of a legal nature and, specifically, those arising from Law 7/1996 on the Regulation of Retail Trade regarding the application for a specific commercial license for the opening of large commercial establishments46, a competence delegated to the Autonomous Communities.  </w:t>
        <w:br/>
        <w:t xml:space="preserve">This has been recognized by the now-defunct TDC in its report on the commercial distribution sector47, stating that "The Law on the Regulation of Retail Trade and the laws regulating this sector in the Autonomous Communities, by restricting or limiting the opening of new establishments, establish a legal barrier to entry in the sector, reducing competition at the local, regional, or community level."  </w:t>
        <w:br/>
        <w:t xml:space="preserve">The specific commercial license does not constitute a fully regulated administrative authorization with automatic granting upon meeting the established requirements, but rather it is a license for which aspects such as the commercial equipment of the affected area or the effects that the new establishment may have on the commercial structure of the area must be taken into account for its granting.  </w:t>
        <w:br/>
        <w:t xml:space="preserve">Thus, it is the Autonomous Communities that decide on the openings of new large commercial establishments, having sufficient margin to assess different elements when granting these licenses, which can constitute a significant barrier to entry into the market.  </w:t>
        <w:br/>
        <w:t xml:space="preserve">In the case of the Autonomous Community of Aragón, relevant for the operation, the basic norm is Law 9/1989, of October 5, on the Regulation of Commercial Activity in Aragón and Decree 172/2005, of September 6, of the Government of Aragón, which approves the Plan for the Regulation of Large Commercial Establishments in that Autonomous Community.  </w:t>
        <w:br/>
        <w:t xml:space="preserve">45 Exptes C70/02 CAPRABO/ENACO and C83/03 CAPRABO/ALCOSTO.  </w:t>
        <w:br/>
        <w:t xml:space="preserve">46 According to Article 2 of Law 7/1996, the Autonomous Communities will establish the requirements under which the qualification of large establishment will be granted. In any case, for the purposes of authorizations, commercial establishments with a usable area for the exhibition and sale to the public exceeding 2,500 square meters will have this consideration.  </w:t>
        <w:br/>
        <w:t xml:space="preserve">47 TDC, "Report on the Conditions of Competition in the Commercial Distribution Sector (I 100/02)." Madrid, June 4, 2003.  </w:t>
        <w:br/>
        <w:t xml:space="preserve">Law 9/1989 requires obtaining a report or a commercial license48 for the opening of large commercial establishments, which are considered as follows:  </w:t>
        <w:br/>
        <w:t xml:space="preserve">• In towns with fewer than 20,000 inhabitants, those establishments that, in their establishment or as a result of subsequent expansions, have a sales area exceeding 600 square meters.  </w:t>
        <w:br/>
        <w:t xml:space="preserve">• In towns with more than 20,000 and fewer than 500,000 inhabitants, those establishments that, in their establishment or as a result of subsequent expansions, have a sales area exceeding 1,000 square meters.  </w:t>
        <w:br/>
        <w:t xml:space="preserve">• In towns with more than 500,000 inhabitants, those establishments that, in their establishment or as a result of subsequent expansions, have a sales area exceeding 2,000 square meters.  </w:t>
        <w:br/>
        <w:t xml:space="preserve">In any case, the opening of such establishments will be carried out in accordance with the provisions of the General Plan for Commercial Equipment in Aragón.  </w:t>
        <w:br/>
        <w:t xml:space="preserve">In this case, Alcañiz and Ejea de los Caballeros have fewer than 20,000 inhabitants, so a commercial license is necessary for the opening of establishments over 600 m2. In Calatayud, the license will be necessary for establishments over 1,000 m2, as it has around 21,000 inhabitants according to INE data for 2007, and in Zaragoza, for establishments over 2,000 m2.  </w:t>
        <w:br/>
        <w:t xml:space="preserve">Aside from the aforementioned legal barriers, one cannot ignore the barriers arising from the very location of the businesses. In this regard, the now-defunct TDC has stated in its report on the conditions of competition in the commercial distribution sector that "retail trade competes not only on prices but also on proximity to the consumer. Once the best locations are taken, entry becomes very difficult."  </w:t>
        <w:br/>
        <w:t xml:space="preserve">The notifier considers that the identified barriers to entry do not make the affected markets impregnable, as evidenced by the expansion of certain operators, such as MERCADONA, or the numerous projects for the opening of new establishments currently in existence.  </w:t>
        <w:br/>
        <w:t xml:space="preserve">Additionally, the notifier indicates that the analysis of the affected markets should be carried out in light of Directive 2006/123/EC on services in the internal market49, which will require the removal of any limitation on the establishment of large surfaces, supermarkets over 400 m2, and discount stores.  </w:t>
        <w:br/>
        <w:t xml:space="preserve">48 According to Decree 172/2005, the requirement for a commercial report or commercial license will depend on the square meters of the establishment and the range of commercial polarity in which the corresponding municipality is situated, in accordance with the provisions of Annex 1 of the aforementioned Decree.  </w:t>
        <w:br/>
        <w:t>49 The deadline for transposing the Services Directive ends on December 28, 2009.</w:t>
      </w:r>
    </w:p>
    <w:p>
      <w:r>
        <w:rPr>
          <w:b/>
        </w:rPr>
        <w:t>[Pages 22–24]</w:t>
      </w:r>
    </w:p>
    <w:p>
      <w:r>
        <w:t>VI. VALUATION OF THE OPERATION</w:t>
        <w:br/>
        <w:t>The present operation consists of the exclusive control of GALERIAS PRIMERO by SUPERMERCADOS SABECO, a subsidiary of the AUCHAN group.</w:t>
      </w:r>
    </w:p>
    <w:p>
      <w:r>
        <w:t>VI.1. Market Position</w:t>
        <w:br/>
        <w:t xml:space="preserve">The operation will marginally strengthen the position of the AUCHAN group in the national market for retail distribution of daily consumer goods in a self-service regime. After the operation, AUCHAN will have a market share of 4.46%, of which 0.78% points correspond to the acquired company. </w:t>
        <w:br/>
        <w:t xml:space="preserve">The strengthening of AUCHAN's position will be particularly significant in the Autonomous Community of Aragón, where it will become the market leader with a share of 39.2%, following the acquisition of the main regional operator, GALERIAS PRIMERO, which has a share of 22%. AUCHAN's main competitor will be CARREFOUR, with 14.4% of the market. </w:t>
        <w:br/>
        <w:t xml:space="preserve">At the local level, the retail distribution activities of the AUCHAN group and GALERIAS PRIMERO overlap in nine locations, in seven of which the resulting share will exceed 30% of the market. </w:t>
        <w:br/>
        <w:t xml:space="preserve">The impact of the operation is particularly important in the geographical areas defined around Calatayud, Alcañiz, and Ejea de los Caballeros by isochrones of 15 minutes of travel by car, where the resulting shares from the operation reach magnitudes exceeding 55%. In the case of considering broader geographical areas, such as isochrones of 30 minutes, the shares would reach 37% of the market in Calatayud and Alcañiz and 42% in Ejea de los Caballeros. </w:t>
        <w:br/>
        <w:t xml:space="preserve">In all three cases, the operation represents the union of the two main operators in those markets, which also have the largest establishments, a relevant aspect given the significant barriers to entry that exist in them. Thus, the asymmetry regarding the rest of the operators, which have smaller establishments, is increased. </w:t>
        <w:br/>
        <w:t xml:space="preserve">The operation is also relevant in the geographical area defined around Zaragoza, where the resulting share reaches around 42% of the market. </w:t>
        <w:br/>
        <w:t>Regarding the upstream market for supplying daily consumer goods, the operation does not seem to pose competition problems given the reduced resulting share.</w:t>
      </w:r>
    </w:p>
    <w:p>
      <w:r>
        <w:t>VI.2. Current Competition, Potential Competition, and Barriers to Entry</w:t>
        <w:br/>
        <w:t xml:space="preserve">The main competitors of AUCHAN in the market for retail distribution of daily consumer goods in a self-service regime at the national, regional, and provincial levels are nationally or regionally well-established companies such as MERCADONA, EROSKI, CONSUM, or DINOSOL, alongside international distribution groups such as CARREFOUR or LIDL. </w:t>
        <w:br/>
        <w:t xml:space="preserve">However, the presence of these operators is not so significant in the Autonomous Community of Aragón, the province of Zaragoza, and the various local markets considered relevant for the operation, as to act as a counterbalance to the increase in share of the acquiring group. </w:t>
        <w:br/>
        <w:t xml:space="preserve">On the other hand, the operation entails the disappearance of an important regional operator, GALERIAS PRIMERO, which is the market leader in the retail distribution of daily consumer goods in the Autonomous Community of Aragón. </w:t>
        <w:br/>
        <w:t xml:space="preserve">Regarding potential competition arising from the entry of new operators into the retail market, two main barriers to entry should be highlighted: legal, arising from the need to request a commercial license from the competent authorities of the corresponding Autonomous Communities for the establishment of certain types of retail commercial surfaces, and physical, arising from the difficulty of finding available premises located in attractive points. </w:t>
        <w:br/>
        <w:t xml:space="preserve">The now-defunct TDC has repeatedly indicated the character of access barrier that regional regulations represent. Nevertheless, the notifier points out that these regulations have not prevented the entry and expansion of some operators in the retail distribution market. </w:t>
        <w:br/>
        <w:t>In particular, in Aragón, the requirements for a commercial license apply both to the opening of large and medium-sized commercial establishments. Specifically, a license is required for the opening of establishments larger than 600 m2 in those localities that, like Alcañiz and Ejea de los Caballeros, have fewer than 20,000 inhabitants, and for establishments larger than 1,000 m2 in localities with between 20,000 and 50,000 inhabitants, as is the case in Calatayud.</w:t>
      </w:r>
    </w:p>
    <w:p>
      <w:r>
        <w:t>VI.3. Demand Compensatory Power</w:t>
        <w:br/>
        <w:t xml:space="preserve">The demand in the market for retail distribution of daily consumer goods is constituted by end consumers, individuals who will go to various retail outlets to stock up on food and non-food products that meet the usual needs of households. </w:t>
        <w:br/>
        <w:t>It cannot, therefore, be stated that the power of demand is such that it counteracts the possible market power acquired by AUCHAN as a result of this operation.</w:t>
      </w:r>
    </w:p>
    <w:p>
      <w:r>
        <w:t>VI.4. Conclusion</w:t>
        <w:br/>
        <w:t>Taking these considerations into account, particularly the disappearance of the main operator in the market in the Autonomous Community of Aragón, the addition of shares, and the existence of barriers to entry, there are serious doubts about the effects of the operation, as it may significantly hinder effective competition in the market for retail distribution of daily consumer goods in a self-service regime in some of the considered markets, particularly in those of Calatayud, Alcañiz, and Ejea de los Caballeros.</w:t>
      </w:r>
    </w:p>
    <w:p>
      <w:r>
        <w:t>VII. COMMITMENTS</w:t>
        <w:br/>
        <w:t xml:space="preserve">In order to resolve the doubts that the operation may raise regarding possible obstacles to maintaining effective competition thereafter in certain relevant geographical areas of the retail distribution of daily consumer goods in a self-service regime, the notifier, under the provisions of Article 69 of Royal Decree 261/2008, of February 22, which approves the Competition Defense Regulation, has submitted commitments (initially, along with the notification and subsequently, on December 1 and 4, 2008) consisting of the divestment of […] establishments of GALERIAS PRIMERO in the localities of Ejea de los Caballeros […], Alcañiz […] and Calatayud […]. </w:t>
        <w:br/>
        <w:t>The proposed commitments are attached in the annex.</w:t>
      </w:r>
    </w:p>
    <w:p>
      <w:r>
        <w:t>VIII. VALUATION OF THE OPERATION WITH COMMITMENTS</w:t>
        <w:br/>
        <w:t xml:space="preserve">As a result of the commitments, there will be no additions of share in the market for retail distribution of daily consumer goods in a self-service regime in the geographical areas of Alcañiz, Ejea de los Caballeros, or Calatayud. </w:t>
        <w:br/>
        <w:t xml:space="preserve">Furthermore, the divestments allow for the emergence of new competitors or the strengthening of those already existing in those areas. </w:t>
        <w:br/>
        <w:t>In light of the above, it can be concluded that the commitments proposed by SUPERMERCADOS SABECO are sufficient to resolve the doubts raised by the operation.</w:t>
      </w:r>
    </w:p>
    <w:p>
      <w:r>
        <w:t>IX. PROPOSAL</w:t>
        <w:br/>
        <w:t xml:space="preserve">In view of all the above and by virtue of Article 57.1 of Law 15/2007, of July 3, on Competition Defense, it is proposed to condition the authorization of the concentration on compliance with the commitments proposed by SUPERMERCADOS SABECO, S.A., in application of Article 57.2. b) of Law 15/2007, of July 3, on Competition Defense. </w:t>
        <w:br/>
        <w:t>All this without prejudice to the application of the corresponding sectoral regulations.</w:t>
      </w:r>
    </w:p>
    <w:p>
      <w:r>
        <w:t>ANNEX. PROPOSAL OF COMMITMENTS</w:t>
        <w:br/>
        <w:t>1. DEFINITIONS</w:t>
        <w:br/>
        <w:t xml:space="preserve">The following terms that will be used in this document are defined: </w:t>
        <w:br/>
        <w:t>Assets affected by the Commitments: the retail distribution businesses of daily consumer goods in the commercial establishments that Sabeco commits to divest in accordance with the provisions of Clauses 2.1 and the Annex.</w:t>
      </w:r>
    </w:p>
    <w:p>
      <w:r>
        <w:rPr>
          <w:b/>
        </w:rPr>
        <w:t>[Pages 25–27]</w:t>
      </w:r>
    </w:p>
    <w:p>
      <w:r>
        <w:t xml:space="preserve">1. </w:t>
        <w:br/>
        <w:t xml:space="preserve">Binding Assignment Agreement: agreement for the assignment of one or more Assets affected by the Commitments. </w:t>
        <w:br/>
        <w:t xml:space="preserve">Assignment Administrator: one or more natural or legal persons, independent of Sabeco and the Group to which it belongs, who, once approved by the Research Directorate, will receive from Sabeco the exclusive and irrevocable mandate to assign the Assets affected by the Commitments during the Additional Divestment Period. </w:t>
        <w:br/>
        <w:t xml:space="preserve">Supervisory Administrator: one or more natural or legal persons, independent of Sabeco and the Group to which it belongs, who, once approved by the Research Directorate, will be appointed by Sabeco to oversee Sabeco's compliance with the commitments and other obligations that may be contained in the Resolution. </w:t>
        <w:br/>
        <w:t xml:space="preserve">Closing: date of the assignment of the Assets affected by the Commitments to the Buyer. </w:t>
        <w:br/>
        <w:t xml:space="preserve">Buyer: the entity approved by the Research Directorate as the buyer of one or more Assets affected by the Commitments. </w:t>
        <w:br/>
        <w:t xml:space="preserve">Resolution: the decision adopted by the Council of the National Competition Commission in case C-0113/08, in accordance with Article 57 of the LDC. </w:t>
        <w:br/>
        <w:t xml:space="preserve">Galerías Primero: Galerías Primero, S.A., with CIF number A-99088163 and registered office for notification purposes at Paseo de Echagaray y Caballero, 76, CP: 50003, Zaragoza. </w:t>
        <w:br/>
        <w:t xml:space="preserve">Sabeco: Supermercados Sabeco S.A., with CIF number A-50008150 and registered office for notification purposes at Polígono Industrial. C/ Albert Einstein, 9, CP: 50830, Villanueva de Gállego, Zaragoza. </w:t>
        <w:br/>
        <w:t xml:space="preserve">Group Companies: companies belonging to the Auchan Group, in accordance with the provisions of Article 7 of the LDC. </w:t>
        <w:br/>
        <w:t xml:space="preserve">Effective Date of the Commitments: date of adoption of the Resolution. </w:t>
        <w:br/>
        <w:t xml:space="preserve">LDC: Law 15/2007, of July 3, on the Defense of Competition. </w:t>
        <w:br/>
        <w:t xml:space="preserve">Initial Divestment Period of […] from the Effective Date of the commitments. </w:t>
        <w:br/>
        <w:t xml:space="preserve">Additional Divestment Period of […] from the end of the Initial Divestment Period. </w:t>
        <w:br/>
        <w:t>Buyer Requirements: the requirements that the Buyer must meet to be approved by the Research Directorate of the National Competition Commission.</w:t>
      </w:r>
    </w:p>
    <w:p>
      <w:r>
        <w:t>2. COMMITMENTS</w:t>
      </w:r>
    </w:p>
    <w:p>
      <w:r>
        <w:t xml:space="preserve">2.1 For the purpose of resolving the doubts of the Research Directorate, Sabeco commits to assign or seek to assign the Assets affected by the Commitments identified in Annex 1 to a Buyer, no later than the end of the Additional Divestment Period and under the conditions approved by the Research Directorate, in accordance with the procedure described in Clause 4.1. </w:t>
        <w:br/>
        <w:t xml:space="preserve">2.2 To carry out the assignment of the Divestment Assets described in Annex 1, Sabeco commits to find, during the Initial Divestment Period of […], a Buyer and to enter into a binding agreement with them for the assignment of the Assets affected by the Commitments. If by the end of the Initial Divestment Period Sabeco has not entered into such an agreement regarding any of the Assets affected by the Commitments indicated in Annex 1, Sabeco will grant the Assignment Administrator an irrevocable mandate to assign or seek to assign said Assets […], in accordance with the procedure described in Clause 5.3. </w:t>
        <w:br/>
        <w:t xml:space="preserve">2.3 Both the Buyer and the terms and the assignment procedure described in Clause 5.3 must be approved in advance by the Research Directorate. </w:t>
        <w:br/>
        <w:t>2.4 Sabeco and the Group Companies commit not to acquire direct or indirect influence over the Assets affected by the Commitments described in Annex 1, unless the Research Directorate considers that the market structure has changed in such a way that this commitment is no longer necessary to eliminate the obstacles that may arise from the execution of the Operation.</w:t>
      </w:r>
    </w:p>
    <w:p>
      <w:r>
        <w:t>3. RELATED COMMITMENTS</w:t>
      </w:r>
    </w:p>
    <w:p>
      <w:r>
        <w:t xml:space="preserve">3.1 Maintenance of the viability, marketability, and competitiveness of the Assets affected by the Commitments </w:t>
        <w:br/>
        <w:t xml:space="preserve">From the Effective Date of the Commitments until the Closing, Sabeco will maintain the economic viability, marketability, and competitiveness of the Assets affected by the Commitments described in Annex 1, in accordance with good business practices and will minimize, to the extent possible, any potential risk that could lead to the loss of competitiveness of said assets. In particular, Sabeco commits to: </w:t>
        <w:br/>
        <w:t xml:space="preserve">Not undertake any action that could have a significant material impact on the value or competitiveness of the Assets affected by the Commitments described in Annex 1 or that could alter the nature and purpose of its activity, or the industrial or commercial strategy or investment policy of said Assets; and </w:t>
        <w:br/>
        <w:t>Make available to the Assets affected by the Commitments described in Annex 1 sufficient resources to allow them to be exploited in accordance with the ordinary course of their businesses.</w:t>
      </w:r>
    </w:p>
    <w:p>
      <w:r>
        <w:t xml:space="preserve">3.2 Due Diligence </w:t>
        <w:br/>
        <w:t>To facilitate all potential Buyers in developing a reasonable due diligence process for the Assets affected by the Commitments described in Annex 1, subject to ordinary confidentiality obligations and depending on the phase of the divestment process, Sabeco will provide potential Buyers with sufficient information regarding these Assets.</w:t>
      </w:r>
    </w:p>
    <w:p>
      <w:r>
        <w:t xml:space="preserve">3.3 Information Obligations </w:t>
        <w:br/>
        <w:t>During the Initial Divestment Period, Sabeco will send to the Research Directorate and the Supervisory Administrator written monthly reports related to potential Buyers of the Assets affected by the Commitments, as well as on the progress of negotiations with such potential Buyers. The submission of such reports will occur within ten days following the end of each month, starting from the Effective Date of the Commitments (or at any other time, if required by the Research Directorate).</w:t>
      </w:r>
    </w:p>
    <w:p>
      <w:r>
        <w:t>3.4 Sabeco will inform the Research Directorate and the Supervisory Administrator about the documentation that will be made available to potential buyers, as well as about the due diligence process, and will send them a copy of the corresponding Memorandum before sending it to potential buyers.</w:t>
      </w:r>
    </w:p>
    <w:p>
      <w:r>
        <w:t>4. THE BUYER</w:t>
      </w:r>
    </w:p>
    <w:p>
      <w:r>
        <w:t xml:space="preserve">4.1 For the Buyer to be approved by the Research Directorate, it must: </w:t>
        <w:br/>
        <w:t xml:space="preserve">(a) be independent and have no connection with Sabeco and the Group Companies; </w:t>
        <w:br/>
        <w:t xml:space="preserve">(b) have sufficient financial resources, experience, and incentives to exploit the Assets affected by the Commitments in effective competition with Sabeco and other competitors present in the affected markets; </w:t>
        <w:br/>
        <w:t>(c) not generate risks of hindering effective competition or risks of delaying the implementation of the commitments offered by Sabeco, particularly needing to meet the reasonably necessary requirements to obtain the regulatory approvals required to acquire the Assets affected by the Commitments; and</w:t>
      </w:r>
    </w:p>
    <w:p>
      <w:r>
        <w:rPr>
          <w:b/>
        </w:rPr>
        <w:t>[Pages 28–30]</w:t>
      </w:r>
    </w:p>
    <w:p>
      <w:r>
        <w:t xml:space="preserve">(d) comply with the conditions contained in the corresponding lease or sublease agreements related to the Assets affected by the Commitments.  </w:t>
        <w:br/>
        <w:t xml:space="preserve">(e) The requirements indicated in sections (a) to (d) shall be defined as the "Buyer Requirements."  </w:t>
        <w:br/>
        <w:t xml:space="preserve">4.2 The binding offer by the Buyer and the final version of the binding transfer Agreement shall be submitted for approval to the Research Directorate. Once an agreement is reached with a Buyer, Sabeco shall send to the Research Directorate and the Supervisory Administrator a reasoned and documented proposal, which must include a copy of the binding offer and the final version of the Agreement in question. Sabeco must demonstrate to the Research Directorate that the Buyer meets the Buyer Requirements. The Research Directorate will verify that these Requirements are met in order to proceed with the approval of the transfer. Sabeco may submit for the approval of the Research Directorate a different buyer for each of the Assets that are part of the Assets affected by the Commitments described in Annex 1, with each of the Buyers being able to acquire one or more Assets.  </w:t>
        <w:br/>
        <w:t xml:space="preserve">5. THE SUPERVISORY ADMINISTRATOR AND THE TRANSFER ADMINISTRATOR  </w:t>
        <w:br/>
        <w:t xml:space="preserve">5.1 Designation procedure and functions  </w:t>
        <w:br/>
        <w:t xml:space="preserve">5.1.1 Sabeco shall appoint, within the deadlines and according to the procedure provided in Clauses 5.1.4 to 5.1.8, a Supervisory Administrator, who will perform the functions attributed to this figure in this document. Additionally, if one month before the end of the Initial Divestment Period, Sabeco has not entered into a binding transfer Agreement regarding any of the Assets affected by the Commitments described in Annex 1 or if the Research Directorate has rejected a Buyer proposed by Sabeco on that date or subsequently regarding any of those Assets, Sabeco shall appoint a Transfer Administrator, who will perform the functions attributed to this figure in this document. The appointment of the Transfer Administrator shall be effective from the beginning of the Additional Divestment Period.  </w:t>
        <w:br/>
        <w:t xml:space="preserve">5.1.2 The Supervisory Administrator and the Transfer Administrator:  </w:t>
        <w:br/>
        <w:t xml:space="preserve">(a) shall be independent of Sabeco and the Group Companies;  </w:t>
        <w:br/>
        <w:t xml:space="preserve">(b) must possess the necessary qualifications to perform their mandate (for example, an investment bank, consultant, auditor, or real estate agent); and  </w:t>
        <w:br/>
        <w:t xml:space="preserve">(c) must not be exposed to any conflict of interest.  </w:t>
        <w:br/>
        <w:t xml:space="preserve">5.1.3 The remuneration of the Supervisory Administrator and the Transfer Administrator must be sufficient to ensure the effective and independent fulfillment of their mandate.  </w:t>
        <w:br/>
        <w:t xml:space="preserve">5.1.4 Within ten days following the Effective Date of the commitments, Sabeco shall send to the Research Directorate, for its approval, the list of the person or persons it proposes to appoint as Supervisory Administrator. The proposal regarding the appointment of the Supervisory Administrator must also include a proposed action plan, describing how the Supervisory Administrator intends to perform their functions. No later than one month before the end of the Initial Divestment Period, Sabeco shall send to the Research Directorate, for its approval, the list of the person or persons it proposes to appoint as Transfer Administrator. The proposals must contain sufficient information to allow the Research Directorate to verify that the proposed Administrators meet the requirements set forth in Clause 5.1.2 and must include the terms of the corresponding mandates, including all necessary issues for the Supervisory Administrator and the Transfer Administrator to fulfill their obligations. In the proposal regarding the appointment of the Supervisory Administrator, it must also indicate whether it is expected that the proposed person or persons will also act as Transfer Administrator. The proposal regarding the appointment of the Transfer Administrator must also include a proposed action plan, describing how the Transfer Administrator intends to perform their functions.  </w:t>
        <w:br/>
        <w:t xml:space="preserve">5.1.5 The Research Directorate shall have discretion to approve or reject the Administrators proposed by Sabeco, as well as the corresponding mandate, which may be modified for the purpose of enabling the Supervisory Administrator or the Transfer Administrator to fulfill their functions. If only one candidate is approved, Sabeco shall appoint as Supervisory Administrator or Transfer Administrator the individual or institution in question, in accordance with the mandate approved by the Research Directorate. If several candidates are approved, Sabeco may appoint any of the approved candidates. The Supervisory Administrator and the Transfer Administrator shall be appointed within one week from the time the Research Directorate gives its approval, in accordance with the mandate also approved by it.  </w:t>
        <w:br/>
        <w:t xml:space="preserve">5.1.6 If all candidates proposed by Sabeco are rejected, Sabeco must submit at least two new candidates within one week from being informed of such rejection.  </w:t>
        <w:br/>
        <w:t xml:space="preserve">5.1.7 If all additional proposals for candidates submitted by Sabeco are rejected by the Research Directorate, Sabeco must appoint as Supervisory Administrator or Transfer Administrator the candidate proposed by the Research Directorate, and in accordance with the mandate it proposes.  </w:t>
        <w:br/>
        <w:t xml:space="preserve">5.1.8 The Supervisory Administrator and Transfer Administrator must assume the obligations identified in this document to ensure Sabeco's compliance with the commitments. The Research Directorate may, on its own initiative, or at the request of the Supervisory Administrator or the Transfer Administrator, order any matters it deems necessary to ensure compliance with the conditions and obligations that are included in the Decision.  </w:t>
        <w:br/>
        <w:t xml:space="preserve">5.2 Obligations of the Supervisory Administrator  </w:t>
        <w:br/>
        <w:t xml:space="preserve">The Supervisory Administrator must:  </w:t>
        <w:br/>
        <w:t xml:space="preserve">(i) propose a detailed action plan to the Research Directorate, identifying how they intend to perform their monitoring functions regarding compliance with the obligations and conditions included in the Resolution;  </w:t>
        <w:br/>
        <w:t xml:space="preserve">(ii) supervise the maintenance of the economic viability, marketability, and competitiveness of the Assets affected by the Commitments described in Annex 1, as well as monitor Sabeco's compliance with the commitments included in the Resolution, in particular, the maintenance of the ordinary course of business of the Assets affected by the Commitments described in Annex 1;  </w:t>
        <w:br/>
        <w:t xml:space="preserve">(iii) propose to Sabeco any measures they consider necessary to ensure compliance with the commitments included in the Resolution, in particular, the maintenance of the ordinary course of business of the Assets affected by the Commitments;  </w:t>
        <w:br/>
        <w:t xml:space="preserve">(iv) assume the other functions assigned to the Supervisory Administrator in accordance with the commitments included in the Resolution;  </w:t>
        <w:br/>
        <w:t xml:space="preserve">(v) review and evaluate potential Buyers as well as the divestment process and verify that potential buyers receive sufficient information during the due diligence process;  </w:t>
        <w:br/>
        <w:t xml:space="preserve">(vi) provide the Research Directorate, within the first fifteen days of each month, with a monthly report. The report shall refer both to Sabeco's maintenance of the ordinary course of business of the Assets affected by the Commitments described in Annex 1, as well as to the progress of the divestment process. It must also inform the Research Directorate if it concludes that Sabeco is failing to comply with the commitments. The Supervisory Administrator shall also send Sabeco a non-confidential copy of the aforementioned report;  </w:t>
        <w:br/>
        <w:t>(vii) provide, within one week from the receipt of the proposal mentioned in Clause 4.2, to the Research Directorate, a reasoned report regarding the adequacy and independence of the Buyer proposed by Sabeco, as well as on the viability of the Assets affected by the Commitments.</w:t>
      </w:r>
    </w:p>
    <w:p>
      <w:r>
        <w:rPr>
          <w:b/>
        </w:rPr>
        <w:t>[Pages 31–33]</w:t>
      </w:r>
    </w:p>
    <w:p>
      <w:r>
        <w:t xml:space="preserve">5.3 Obligations of the Assignment Administrator  </w:t>
        <w:br/>
        <w:t xml:space="preserve">5.3.1 In the Additional Divestment Period, the Assignment Administrator shall assign the Assets affected by the Commitments described in Annex 1 to a Buyer, provided that both the Buyer and the corresponding Binding Assignment Agreement have been approved by the Directorate of Investigation, in accordance with the procedure described in Clause 4.2.  </w:t>
        <w:br/>
        <w:t xml:space="preserve">5.3.2 In the Additional Divestment Period (or at any other time if required by the Directorate of Investigation), the Assignment Administrator shall provide the Directorate of Investigation with a written report on a monthly basis detailing the status of the divestment process. The aforementioned reports must be sent within the first fifteen days of the month following the month to which the report refers, and a non-confidential version of the same must be simultaneously sent to Sabeco.  </w:t>
        <w:br/>
        <w:t xml:space="preserve">5.4 Obligations of Sabeco  </w:t>
        <w:br/>
        <w:t xml:space="preserve">5.4.1 Sabeco shall provide and require its advisors to provide the Supervisory Administrator and the Assignment Administrator with all cooperation and information reasonably necessary for the Supervisory Administrator and the Assignment Administrator to perform their functions. The Supervisory Administrator and Assignment Administrator shall have full access to all documentation, facilities, and any other information regarding the Assets affected by the Commitments described in Annex 1 that is necessary for the fulfillment of their respective functions.  </w:t>
        <w:br/>
        <w:t xml:space="preserve">5.4.2 Sabeco shall provide the Supervisory Administrator with all administrative and management support that he may reasonably need. Sabeco shall provide and require its advisors to provide the Supervisory Administrator, upon request, with all information that is sent to potential Buyers, particularly facilitating access to the data room documentation, if applicable, and all additional documentation provided to the potential Buyer in the due diligence process. Sabeco shall inform the Supervisory Administrator about potential Buyers, shall send him a list of potential Buyers, and shall keep him informed of the progress of the divestment process.  </w:t>
        <w:br/>
        <w:t xml:space="preserve">5.4.3 Sabeco shall grant the Assignment Administrator the necessary powers to carry out the assignment and all other actions that he considers necessary or appropriate to effect the assignment, including the appointment of the necessary advisors in the assignment process.  </w:t>
        <w:br/>
        <w:t xml:space="preserve">5.4.4 Sabeco shall exempt the Supervisory Administrator and the Assignment Administrator and their employees and agents from any liability to Sabeco arising from the performance of their functions as Administrator in accordance with this document, unless such liability arises from negligence or bad faith of the Administrator or his employees, agents, or advisors.  </w:t>
        <w:br/>
        <w:t xml:space="preserve">5.4.5 Sabeco shall bear the costs incurred by the Supervisory Administrator and the Assignment Administrator as a result of the appointment of the advisors that they consider necessary to fulfill their obligations, provided that such costs are reasonable and provided that the appointment of such advisors is approved by Sabeco, which may not unreasonably withhold such approval. In the Additional Divestment Period, the Assignment Administrator may use the advisors who advised Sabeco during the Initial Divestment Period, if deemed appropriate in the interest of the assignment process.  </w:t>
        <w:br/>
        <w:t xml:space="preserve">5.5 Replacement, Release, and New Appointment of the Administrator  </w:t>
        <w:br/>
        <w:t xml:space="preserve">5.5.1 If the Supervisory Administrator or Assignment Administrator fails to fulfill the functions provided in this document or if there is another legitimate reason, including the existence of a conflict of interest:  </w:t>
        <w:br/>
        <w:t xml:space="preserve">(a) The Directorate of Investigation may, after hearing the Supervisory Administrator or the Assignment Administrator, require Sabeco to replace him; or  </w:t>
        <w:br/>
        <w:t xml:space="preserve">(b) Sabeco may, with the prior approval of the Directorate of Investigation, replace the Supervisory Administrator or the Assignment Administrator.  </w:t>
        <w:br/>
        <w:t xml:space="preserve">5.5.2 If the Supervisory Administrator or Assignment Administrator is replaced in accordance with the preceding paragraph, he may be required to continue performing his functions until he has provided the new Supervisory Administrator or Assignment Administrator with all relevant information necessary for the fulfillment of their obligations. The new Supervisory Administrator or Assignment Administrator shall be appointed in accordance with the procedure provided in Clauses 5.1.4 and 5.1.5 above.  </w:t>
        <w:br/>
        <w:t xml:space="preserve">5.5.3 Except for the case provided in Clause 5.5.1, the Supervisory Administrator and the Assignment Administrator shall only cease to perform their functions when the Directorate of Investigation releases them from their obligations, once the fulfillment of the Commitments for which they have been entrusted with oversight or execution has occurred. However, the Directorate of Investigation may require at any time that the Supervisory Administrator be reappointed if it concludes that the relevant commitments have not been implemented completely and correctly.  </w:t>
        <w:br/>
        <w:t xml:space="preserve">6. REVIEW CLAUSE  </w:t>
        <w:br/>
        <w:t xml:space="preserve">6.1 The Directorate of Investigation may, when it deems appropriate, upon a reasoned request from Sabeco, which must be accompanied by a report from the Supervisory Administrator:  </w:t>
        <w:br/>
        <w:t xml:space="preserve">(i) grant an extension of the deadlines provided in this document, or  </w:t>
        <w:br/>
        <w:t xml:space="preserve">(ii) in exceptional circumstances, grant a waiver, modify, or replace one or some of the obligations provided in these commitments.  </w:t>
        <w:br/>
        <w:t xml:space="preserve">6.2 To request an extension of the deadline, Sabeco shall send a reasoned request to the Directorate of Investigation no later than one month before the expiration of the deadline for which the extension is requested.  </w:t>
        <w:br/>
        <w:t xml:space="preserve">ANNEX 1  </w:t>
        <w:br/>
        <w:t xml:space="preserve">Description of the Assets affected by the Commitments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