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https://www.cnmc.es/expedientes/c012008</w:t>
      </w:r>
    </w:p>
    <w:p>
      <w:r>
        <w:t>Pages translated : 8</w:t>
      </w:r>
    </w:p>
    <w:p/>
    <w:p>
      <w:r>
        <w:rPr>
          <w:b/>
        </w:rPr>
        <w:t>[Pages 1–3]</w:t>
      </w:r>
    </w:p>
    <w:p>
      <w:r>
        <w:t>NATIONAL COMPETITION COMMISSION RESOLUTION (File C-0120/08, LLOYDS TSB/HBOS)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December 22, 2008. Having reviewed the file processed in accordance with Law 15/2007, of July 3, on the Defense of Competition, regarding the economic concentration consisting of the acquisition by LLOYDS TSB GROUP PLC of exclusive control over the company HBOS PLC (File C/0120/08)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C/0120/08 LLOYDS TSB / HBOS On December 3, 2008, the National Competition Commission (CNC) received a notification regarding the economic concentration operation consisting of the acquisition by LLOYDS TSB GROUP PLC (“LLOYDS TSB”) of exclusive control over the company HBOS PLC (“HBOS”). This notification was made by LLOYDS TSB, in accordance with Article 9 of Law 15/2007, of July 3, on the Defense of Competition (LDC) for exceeding the sales volume threshold established in Article 8.1 b) of the aforementioned law. This operation is subject to the provisions of Royal Decree 261/2008, of February 22, which approves the Competition Defense Regulation. Article 57.2.c) of Law 15/2007 establishes that the Council of the CNC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control of concentrations shall determine the acceptance of the corresponding application by administrative silence, except in the cases provided for in Articles 9.5, 55.5, and 57.2.d) of this Law.” According to the above, the deadline to agree to initiate the second phase of the procedure is January 3, 2009, inclusive. After this date, the notified operation will be considered tacitly authorized. I.- NATURE OF THE OPERATION The notified concentration operation consists of the exclusive control of HBOS, a financial group engaged in banking, insurance, financial services, and other related services, by LLOYDS TSB. On September 18, 2008, the parties announced that they had reached an agreement on the acquisition of exclusive control of HBOS by Lloyds TSB. This operation would be carried out through a Scheme of Arrangement, following the provisions of the Companies Act 2006 of the United Kingdom. To carry out this Scheme of Arrangement, HBOS must request the competent Court in Edinburgh (“Court of Sessions”) to approve it and confirm the cancellation of all its currently outstanding ordinary shares. According to the notifying party, the hearing before the competent Court for the approval of the Scheme of Arrangement is scheduled for January 12, 2009.</w:t>
      </w:r>
    </w:p>
    <w:p>
      <w:r>
        <w:t>2. INVESTIGATION OF MERGER Previously, it is required that the shareholders of HBOS and LLOYDS TSB approve the transaction, as well as obtaining authorizations from various regulators, including the British financial markets regulator. Once the notified transaction is carried out, LLOYDS will have exclusive control over HBOS as its sole private shareholder. The transaction is therefore included under the provision of Article 7.1 b of the LDC. The transaction has been notified, in addition to Spain, in the United Kingdom, Germany, Ireland, the Netherlands, and the USA, with its execution being conditioned upon authorization by the corresponding national competition authorities. II.- APPLICABILITY OF LAW 15/2007 ON THE DEFENSE OF COMPETITION According to the notifying party, the operation does not fall within the scope of Regulation (EC) No. 139/2004 of the Council, of January 20, on the control of concentrations between undertakings, as it does not exceed the thresholds of Article 1, paragraphs 2 and 3 thereof. However, the notified operation meets the requirements established by Law 15/2007 for its notification, as it exceeds the threshold established in Article 8.1.b) of the same (business volume). The operation complies with the requirements set forth in Article 56.1.b) of the LDC for processing as a simplified procedure, given the limited importance of the participation in the Spanish markets of the companies that are concentrating. III.- PARTICIPATING COMPANIES III.1. LLOYDS TSB GROUP PLC (“LLOYDS TSB”) LLOYDS TSB is a financial services group based in the United Kingdom that is listed on the London Stock Exchange and is not controlled by any shareholder. It offers a wide range of banking and financial services to clients, whether individuals or corporations, mainly located in the United Kingdom. Its main activities are retail banking, commercial banking, and insurance. On December 12, 2008, the HBOS Shareholders' Meeting voted in favor of the transaction. For its part, the shareholders of LLOYDS TSB voted in favor of the transaction at an extraordinary meeting on November 19, 2008. According to the conditions of the aforementioned Scheme of Arrangement and under the financial measures announced on December 8, 2008, by the British Government, aimed at supporting the banking sector, all newly issued ordinary shares of LLOYDS TSB that have not been acquired by private shareholders will remain in the hands of the British Government. According to the notifying party, in the event that no shareholder of LLOYDS TSB and HBOS participates in the capital increases, the British Government could come to control up to 43.5% of LLOYDS TSB. The operation has already been approved by the authorities of the United Kingdom, Germany, and the USA on October 31, 2008, December 11, 2008, and November 26, 2008, respectively.</w:t>
      </w:r>
    </w:p>
    <w:p>
      <w:r>
        <w:rPr>
          <w:b/>
        </w:rPr>
        <w:t>[Pages 4–6]</w:t>
      </w:r>
    </w:p>
    <w:p>
      <w:r>
        <w:t>3. INVESTIGATION OF MERGER</w:t>
      </w:r>
    </w:p>
    <w:p>
      <w:r>
        <w:t>corporate, general and life insurance, and deposits for pension and investment funds.</w:t>
      </w:r>
    </w:p>
    <w:p>
      <w:r>
        <w:t>Approximately […]5% of LLOYDS TSB's business volume is conducted in the United Kingdom. In Spain, LLOYDS TSB provides only retail and corporate banking services through 28 branches.</w:t>
      </w:r>
    </w:p>
    <w:p>
      <w:r>
        <w:t>The business volume of LLOYDS TSB in the last financial year, in accordance with Article 5 of Royal Decree 261/2008, was, according to the notifier, as follows:</w:t>
      </w:r>
    </w:p>
    <w:p>
      <w:r>
        <w:t>6</w:t>
        <w:br/>
        <w:t>LLOYDS TSB TURNOVER - 2007</w:t>
        <w:br/>
        <w:t>(Million euros)</w:t>
        <w:br/>
        <w:t>WORLDWIDE EU SPAIN</w:t>
        <w:br/>
        <w:t>[&gt;2,500] [&gt;250] [&gt;60]</w:t>
        <w:br/>
        <w:t>Source: Notification</w:t>
      </w:r>
    </w:p>
    <w:p>
      <w:r>
        <w:t>III.2. HBOS PLC (“HBOS”)</w:t>
      </w:r>
    </w:p>
    <w:p>
      <w:r>
        <w:t>HBOS is a financial group listed on the London Stock Exchange and is not controlled by any natural or legal person.</w:t>
      </w:r>
    </w:p>
    <w:p>
      <w:r>
        <w:t>The group carries out numerous banking, insurance, financial services, and other related services, which it primarily develops in the United Kingdom (around […]% of the total business volume) and internationally (Australia, Europe, and North America). In Spain, it has 24 branches that provide retail banking services (current accounts, savings books, mortgage loans), insurance brokerage (home, car, life, and disability), and corporate banking (loans, management of promissory notes, financial guarantees, structured financing, risk coverage, etc.).</w:t>
      </w:r>
    </w:p>
    <w:p>
      <w:r>
        <w:t>The turnover of HBOS in the last financial year, in accordance with Article 5 of Royal Decree 261/2008, was, according to the notifier, as follows:</w:t>
      </w:r>
    </w:p>
    <w:p>
      <w:r>
        <w:t>HBOS TURNOVER - 2007</w:t>
        <w:br/>
        <w:t>(Million euros)</w:t>
        <w:br/>
        <w:t>WORLDWIDE EU SPAIN</w:t>
        <w:br/>
        <w:t>[&gt;2,500] [&gt;250] [&gt;60]</w:t>
        <w:br/>
        <w:t>Source: Notification</w:t>
      </w:r>
    </w:p>
    <w:p>
      <w:r>
        <w:t>5</w:t>
        <w:br/>
        <w:t>The information contained in brackets has been declared confidential.</w:t>
        <w:br/>
        <w:t>6</w:t>
        <w:br/>
        <w:t>According to the notifier, the conversion from British pounds to euros has been made using the average exchange rate of the ECB for the year 2007 (0.68434).</w:t>
      </w:r>
    </w:p>
    <w:p>
      <w:r>
        <w:t>4. INVESTIGATION OF MERGER</w:t>
      </w:r>
    </w:p>
    <w:p>
      <w:r>
        <w:t>IV.- RELEVANT MARKETS AND MARKET SHARES</w:t>
      </w:r>
    </w:p>
    <w:p>
      <w:r>
        <w:t>IV.1. Product Market</w:t>
      </w:r>
    </w:p>
    <w:p>
      <w:r>
        <w:t>The sector in which the operation is framed is that of banking services, an activity to which both participants are dedicated in Spain. Following the precedents of the European Commission, national precedents have differentiated within banking services the following product markets: retail banking; corporate banking; and investment banking and operations in the money markets.</w:t>
      </w:r>
    </w:p>
    <w:p>
      <w:r>
        <w:t>Both LLOYDS TSB and HBOS coincide in the Spanish market in providing retail banking and corporate banking services, with neither participant offering investment banking services or operations in the Spanish money markets. Consequently, the relevant markets for the analysis of the current operation are (i) retail banking and (ii) corporate banking.</w:t>
      </w:r>
    </w:p>
    <w:p>
      <w:r>
        <w:t>Retail banking directs its activity towards individuals, businesses, and SMEs. This type of activity mainly includes current and savings accounts, deposits, and consumer, mortgage, and other financing loans. Additionally, other services such as investment and pension fund management and credit card operations are offered. Retail banking services are aimed at a large number of clients who carry out a significant number of small transactions, thus requiring a sufficient branch network to satisfy a large and often dispersed clientele.</w:t>
      </w:r>
    </w:p>
    <w:p>
      <w:r>
        <w:t>Corporate banking primarily operates with large companies and public bodies and institutions. Corporate banking services mainly consist of deposit management, loans, payment transactions, documentary credits, international payments, swaps, leasing, and factoring. These products are usually modified in each specific case according to the client's needs and are generally offered as a "package" of services.</w:t>
      </w:r>
    </w:p>
    <w:p>
      <w:r>
        <w:t>In both the retail banking market and the corporate banking market, different segments are usually differentiated based on the types of services demanded in each case. However, in the context of the current operation, a detailed analysis of all possible segments is not considered necessary, given the insignificant presence of the parties in any of them.</w:t>
      </w:r>
    </w:p>
    <w:p>
      <w:r>
        <w:t>5</w:t>
        <w:br/>
        <w:t>Decisions of the EC in the matters: COMP/M.4844 Fortis/ABN AMRO Assets; COMP/M.4692 - BARCLAYS / ABN AMRO; COMP/M.3894 - UNICREDITO / HVB; COMP/M.1910 Meritanordbanken / Unidanmark; COMP/M.117 Fortis AG/ Generale Bank; COMP/M.3894 Unicredito/HVB; COMP/M.850 Fortis/MeesPierson and COMP/M.2225 Fortis/ASR, among others.</w:t>
        <w:br/>
        <w:t>8</w:t>
        <w:br/>
        <w:t>See resolutions of the former TDC: C51/00 Cajas Navarras, C43/99 Caixa Vigo/Caixa Ourense/Caixa Pontevedra, C47/99 BBV/Argentaria, C39/99 Banco Santander/Banco Central Hispanoamericano, and the reports of the former SDC in the operations N-06098, EL MONTE / CAJA SAN FERNANDO and N-06053, BANCO SABADELL / BANCO URQUIJO; as well as the most recent Resolution of the CNC in the operation C-0050/08, LA CAIXA / MORGAN STANLEY, among others.</w:t>
      </w:r>
    </w:p>
    <w:p>
      <w:r>
        <w:t>IV.2. Geographic Market</w:t>
      </w:r>
    </w:p>
    <w:p>
      <w:r>
        <w:t>In relation to retail banking, in successive Decisions of the European Commission as well as in the aforementioned national precedents, it has been considered that the services provided in this market are limited to the national scope. This assessment is based on factors such as language differences, consumer preferences for local providers, different business cultures, and the importance of the branch network. However, in its latest Decisions, the Commission has indicated that the introduction of the single currency and new technologies such as the internet and telephone banking will eliminate these differences, determining cross-border markets.</w:t>
      </w:r>
    </w:p>
    <w:p>
      <w:r>
        <w:t>In the case of the retail market of the Spanish banking system, the former Competition Defense Tribunal has considered that there are various reasons to consider narrower geographic markets (autonomous or regional), with the most limited being the provincial scope. This report will analyze the effects of the operation in the retail banking market at both the national and provincial levels.</w:t>
      </w:r>
    </w:p>
    <w:p>
      <w:r>
        <w:t>Regarding corporate banking, community practice defines a transnational geographic market that could reach a global scope. However, as has been considered in recent national precedents, certain segments of corporate banking products continue to be offered at the national level.</w:t>
      </w:r>
    </w:p>
    <w:p>
      <w:r>
        <w:t>In the present case, considering that the analysis of the operation is not altered regardless of the scope considered, it is not necessary to establish a definitive geographic definition of corporate banking services, analyzing the effects of the operation on the national market.</w:t>
      </w:r>
    </w:p>
    <w:p>
      <w:r>
        <w:t>V.- MARKET ANALYSIS</w:t>
      </w:r>
    </w:p>
    <w:p>
      <w:r>
        <w:t>V.1. Supply Structure</w:t>
      </w:r>
    </w:p>
    <w:p>
      <w:r>
        <w:t>In retail banking services, the main criteria traditionally used to determine the competitive position of credit institutions are deposits, loans, the number of operational offices, as well as the number of ATMs and credit and debit cards issued.</w:t>
      </w:r>
    </w:p>
    <w:p>
      <w:r>
        <w:rPr>
          <w:b/>
        </w:rPr>
        <w:t>[Pages 7–8]</w:t>
      </w:r>
    </w:p>
    <w:p>
      <w:r>
        <w:t>6. INVESTIGATION OF MERGER</w:t>
      </w:r>
    </w:p>
    <w:p>
      <w:r>
        <w:t>The notifying party has provided data on the market shares of each of the participants in relation to the segments of deposits and loans as well as the number of available offices, which are reflected for the national retail banking market in the following table:</w:t>
      </w:r>
    </w:p>
    <w:p>
      <w:r>
        <w:t>MARKET SHARES OF THE PARTIES IN THE SPANISH RETAIL BANKING MARKET</w:t>
        <w:br/>
        <w:t>Number of offices (%) Deposits (%) Loans (%)</w:t>
        <w:br/>
        <w:t>LLOYDS TSB [0-10] [0-10] [0-10]</w:t>
        <w:br/>
        <w:t>HBOS [0-10] [0-10] [0-10]</w:t>
        <w:br/>
        <w:t>Source: Notification</w:t>
      </w:r>
    </w:p>
    <w:p>
      <w:r>
        <w:t>In narrower geographical areas, the activities of both participants overlap in seven provincial markets (Alicante, Barcelona, Madrid, Málaga, Sevilla, Balearic Islands, and Tenerife). The highest combined market share of the parties is reached in Málaga ([0-10]% combined share in the loans segment, of which [0-10]% belongs to the acquired entity). In the remaining provinces, the combined share of LLOYDS TSB and HBOS does not exceed [0-10]% in any of the analyzed segments.</w:t>
      </w:r>
    </w:p>
    <w:p>
      <w:r>
        <w:t>In corporate banking services, the combined market share of LLOYDS TSB and HBOS in the national market does not exceed, according to the notifying party, the share of [0-10]% ([0-10]% combined share by billing; [0-10]% in the deposits segment and [0-10]% in the loans segment).</w:t>
      </w:r>
    </w:p>
    <w:p>
      <w:r>
        <w:t>In each of the analyzed banking service markets, in addition to LLOYDS TSB and HBOS, a large number of banks and savings banks operate with much higher shares and consolidated positions in the Spanish market (among others, Banco Santander, BBVA, La Caixa, Caja Madrid, Banco Sabadell, Bankinter, and Unicaja).</w:t>
      </w:r>
    </w:p>
    <w:p>
      <w:r>
        <w:t>VI.- ASSESSMENT OF THE TRANSACTION</w:t>
      </w:r>
    </w:p>
    <w:p>
      <w:r>
        <w:t>The notified transaction consists of the exclusive control of the HBOS group by the LLOYDS TSB group, both engaged in providing banking and financial services, with primary activity in the United Kingdom.</w:t>
      </w:r>
    </w:p>
    <w:p>
      <w:r>
        <w:t>In Spain, both participants are active in the retail banking and corporate banking markets with a marginal presence.</w:t>
      </w:r>
    </w:p>
    <w:p>
      <w:r>
        <w:t>In retail banking services, the combined share of both participants in the national market is insignificant (&lt;[0-10]%), not exceeding [0-10]% in any provincial market. In corporate banking services, the combined presence of the parties is even smaller, with a combined share not exceeding [0-10]% in any case.</w:t>
      </w:r>
    </w:p>
    <w:p>
      <w:r>
        <w:t>The resulting entity will face competition from a large number of banking entities and savings banks with consolidated positions in the Spanish market and much higher market shares.</w:t>
      </w:r>
    </w:p>
    <w:p>
      <w:r>
        <w:t>Considering the aforementioned considerations, it is not expected that the transaction will pose a threat to effective competition in the analyzed market.</w:t>
      </w:r>
    </w:p>
    <w:p>
      <w:r>
        <w:t>VII.- PROPOSAL</w:t>
      </w:r>
    </w:p>
    <w:p>
      <w:r>
        <w:t>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