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https://www.cnmc.es/expedientes/c012308</w:t>
      </w:r>
    </w:p>
    <w:p>
      <w:r>
        <w:t>Pages translated : 8</w:t>
      </w:r>
    </w:p>
    <w:p/>
    <w:p>
      <w:r>
        <w:rPr>
          <w:b/>
        </w:rPr>
        <w:t>[Pages 1–3]</w:t>
      </w:r>
    </w:p>
    <w:p>
      <w:r>
        <w:t>NATIONAL COMPETITION COMMISSION RESOLUTION (File C-0123/08, MITSUBISHI RAYON/LUCITE INTERNATIONAL) COUNCIL D. Luis Berenguer Fuster, President D. Fernando Torremocha García-Sáenz, Vice President D. Emilio Conde Fernández-Oliva, Counselor D. Miguel Cuerdo Mir, Counselor Dª Pilar Sánchez Núñez, Counselor D. Julio Costas Comesaña, Counselor Dª Mª Jesús González López, Counselor Dª Inmaculada Gutiérrez Carrizo, Counselor In Madrid, on January 21, 2009.</w:t>
      </w:r>
    </w:p>
    <w:p>
      <w:r>
        <w:t>Having reviewed the file processed in accordance with Law 15/2007, of July 3, on the Defense of Competition, regarding the economic concentration consisting of the acquisition by MITSUBISHI RAYON CO. of exclusive control over LUCITE INTERNATIONAL GROUP LTD. (File C/0123/08) and agreeing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PROPOSED RESOLUTION FILE C/0123/08 MITSUBISHI / LUCITE</w:t>
      </w:r>
    </w:p>
    <w:p>
      <w:r>
        <w:t>I. BACKGROUND</w:t>
      </w:r>
    </w:p>
    <w:p>
      <w:r>
        <w:t>On December 11, 2008, a notification was received by this Investigation Directorate regarding the acquisition by MITSUBISHI RAYON CO LTD (hereinafter MITSUBISHI) of exclusive control over LUCITE INTERNATIONAL GROUP LIMITED (hereinafter LUCITE).</w:t>
      </w:r>
    </w:p>
    <w:p>
      <w:r>
        <w:t>This notification was made by MITSUBISHI in accordance with Article 9 of Law 15/2007, of July 3, on the Defense of Competition, as it exceeds the thresholds established in Article 8.1.a). This operation is subject to the provisions of Royal Decree 261/2008, of February 22, which approves the Competition Defense Regulation.</w:t>
      </w:r>
    </w:p>
    <w:p>
      <w:r>
        <w:t>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control of concentrations shall determine the acceptance of the corresponding request by administrative silence, except in the cases provided for in Articles 9.5, 55.5, and 57.2.d) of this Law.”</w:t>
      </w:r>
    </w:p>
    <w:p>
      <w:r>
        <w:t>In exercise of the provisions of Article 55.5 of Law 15/2007, the Investigation Directorate requested from the notifying party on December 19, 2008, and January 13, 2009, necessary information for the resolution of the file. The requested information was provided on December 29, 2008, and January 15, 2009, respectively.</w:t>
      </w:r>
    </w:p>
    <w:p>
      <w:r>
        <w:t>According to the above, the deadline to agree to initiate the second phase of the procedure is January 24, 2009, inclusive. After this date, the notified operation will be considered tacitly authorized.</w:t>
      </w:r>
    </w:p>
    <w:p>
      <w:r>
        <w:t>II. NATURE OF THE OPERATION</w:t>
      </w:r>
    </w:p>
    <w:p>
      <w:r>
        <w:t>The operation consists of the acquisition by MITSUBISHI of exclusive control over LUCITE.</w:t>
      </w:r>
    </w:p>
    <w:p>
      <w:r>
        <w:t>The concentration operation will be executed through a share purchase agreement signed on November 11, 2008, by which MITSUBISHI will acquire 100% of the capital of LUCITE.</w:t>
      </w:r>
    </w:p>
    <w:p>
      <w:r>
        <w:t>The execution of the operation is conditioned upon its authorization by the competition authorities of Spain, China, Germany, Korea, Taiwan, Turkey, and Portugal.</w:t>
      </w:r>
    </w:p>
    <w:p>
      <w:r>
        <w:t>III. APPLICABILITY OF LAW 15/2007 ON THE DEFENSE OF COMPETITION</w:t>
      </w:r>
    </w:p>
    <w:p>
      <w:r>
        <w:t>According to the notifying party, the operation does not fall within the scope of Council Regulation (EC) No 139/2004 of January 20, on the control of concentrations between undertakings, as it does not meet the thresholds described in its Article 1. However, the notified operation meets the requirements set forth by the LDC for its notification, as it exceeds the threshold established in Article 8.1.a) thereof.</w:t>
      </w:r>
    </w:p>
    <w:p>
      <w:r>
        <w:t>The operation complies with the requirements set forth in Article 56.1.a) of Law 15/2007, of July 3, on the Defense of Competition (LDC) and Article 57.1.a) of Royal Decree 261/2008, of February 22, for its processing as an expedited procedure, as there is no horizontal or vertical overlap between the parties to the operation.</w:t>
      </w:r>
    </w:p>
    <w:p>
      <w:r>
        <w:t>IV. ACCESSORY RESTRICTIONS</w:t>
      </w:r>
    </w:p>
    <w:p>
      <w:r>
        <w:t xml:space="preserve">The Parties have agreed on certain agreements that they consider accessory and necessary for the execution of the notified operation, specifically: </w:t>
        <w:br/>
        <w:t xml:space="preserve">• A non-compete clause, whereby the sellers commit for a period of [not exceeding three years] from the closing date of the operation to: </w:t>
        <w:br/>
        <w:t xml:space="preserve">o Not exercise control over any type of business that may compete with LUCITE in the product and geographic markets in which it is present. </w:t>
        <w:br/>
        <w:t xml:space="preserve">o Not offer LUCITE customers services or products that may compete with theirs. </w:t>
        <w:br/>
        <w:t xml:space="preserve">o Not interfere in the contractual or commercial relationships between LUCITE or any of its subsidiaries and their suppliers. </w:t>
        <w:br/>
        <w:t xml:space="preserve">• A non-solicitation clause, which establishes that the sellers commit for a period of [not exceeding three years] from the closing date of the operation not to solicit LUCITE employees. </w:t>
        <w:br/>
        <w:t>• Finally, a confidentiality clause, of indefinite duration, whereby the sellers commit not to use the commercial information obtained as a result of the operation.</w:t>
      </w:r>
    </w:p>
    <w:p>
      <w:r>
        <w:t>Section 3 of Article 10 of Law 15/2007 establishes that “certain accessory restrictions on competition, directly linked to the operation and necessary for its execution, may be understood to be included.”</w:t>
      </w:r>
    </w:p>
    <w:p>
      <w:r>
        <w:t>1 The data indicated in brackets has been declared confidential.</w:t>
      </w:r>
    </w:p>
    <w:p>
      <w:r>
        <w:rPr>
          <w:b/>
        </w:rPr>
        <w:t>[Pages 4–6]</w:t>
      </w:r>
    </w:p>
    <w:p>
      <w:r>
        <w:t>Taking into account national and community precedents, as well as the Commission's Communication on restrictions directly related to and necessary for the implementation of a concentration (2005/C 56/03), it is considered that, in the present case, with respect to Spain, the content and duration of the non-compete clause and the non-solicitation agreement do not go beyond what is reasonably required by the notified concentration operation, being considered an integral part of it.</w:t>
      </w:r>
    </w:p>
    <w:p>
      <w:r>
        <w:t>Similarly, it is considered that the indefinite duration of the confidentiality clause goes beyond what is reasonably required by the notified concentration operation, being excluded from the notified operation and subject to the regulations on agreements between companies.</w:t>
      </w:r>
    </w:p>
    <w:p>
      <w:r>
        <w:t>V. PARTICIPATING COMPANIES</w:t>
      </w:r>
    </w:p>
    <w:p>
      <w:r>
        <w:t>V.1. MITSUBISHI RAYON, CO LTD (“MITSUBISHI”)</w:t>
      </w:r>
    </w:p>
    <w:p>
      <w:r>
        <w:t>MITSUBISHI is a manufacturer and distributor operating globally in the production and distribution of methyl methacrylate (MMA) and a wide range of acrylic derivatives. It also produces plastic materials applied to technological products. MITSUBISHI is listed on the Tokyo Stock Exchange, and according to the notifying party, it is not under the exclusive or joint control of any of its shareholders.</w:t>
      </w:r>
    </w:p>
    <w:p>
      <w:r>
        <w:t>In the Spanish market, it primarily distributes synthetic fibers, fillers, and chemical catalysts, products that the acquired business does not manufacture or sell in Spain. The turnover of MITSUBISHI in the last financial year, in accordance with Article 5 of Royal Decree 261/2008, is, according to the notifying party, as follows:</w:t>
      </w:r>
    </w:p>
    <w:p>
      <w:r>
        <w:t>TURNOVER 2007</w:t>
        <w:br/>
        <w:t>(Millions of euros)</w:t>
        <w:br/>
        <w:t>GLOBAL EU SPAIN</w:t>
        <w:br/>
        <w:t>2,590 [&lt;250] [&lt;60]</w:t>
        <w:br/>
        <w:t>Source: Notifying party</w:t>
      </w:r>
    </w:p>
    <w:p>
      <w:r>
        <w:t>V.2. LUCITE INTERNATIONAL GROUP LTD (“LUCITE”)</w:t>
      </w:r>
    </w:p>
    <w:p>
      <w:r>
        <w:t>LUCITE is a manufacturer and distributor of MMA, MMA polymers (PMMAs), and acrylic derivatives. LUCITE is present in Europe, America, and Asia. The company was created from a merger of the acrylic products business branch of the British group ICI and the American company E.I. du Pont de Nemours.</w:t>
      </w:r>
    </w:p>
    <w:p>
      <w:r>
        <w:t>In Spain, LUCITE primarily operates in the MMA market, certain specialized methacrylates (SpMAs), as well as in certain PMMAs and some acrylic resins. The turnover of LUCITE in the last financial year, in accordance with Article 5 of Royal Decree 261/2008, is, according to the notifying party, as follows:</w:t>
      </w:r>
    </w:p>
    <w:p>
      <w:r>
        <w:t>TURNOVER 2007</w:t>
        <w:br/>
        <w:t>(Millions of euros)</w:t>
        <w:br/>
        <w:t>GLOBAL EU SPAIN</w:t>
        <w:br/>
        <w:t>1,241 [&gt;250] [&lt;60]</w:t>
        <w:br/>
        <w:t>Source: Notifying party</w:t>
      </w:r>
    </w:p>
    <w:p>
      <w:r>
        <w:t>VI. RELEVANT MARKETS</w:t>
      </w:r>
    </w:p>
    <w:p>
      <w:r>
        <w:t>VI.1. Product Markets</w:t>
      </w:r>
    </w:p>
    <w:p>
      <w:r>
        <w:t>The operation affects the sector of manufacturing and distribution of chemical products and acrylic derivatives, and in particular, the manufacturing and marketing of methyl methacrylate (MMA), MMA polymers (PMMAs), and certain specialized methacrylates (SpMAs). According to the notifying party, MITSUBISHI is not active in any of the downstream markets of MMA, SpMAs, and PMMAs at the national level, and at the EEA level, it is only present in downstream markets of PMMA and SpMA, where it has a marginal presence, well below 15%.</w:t>
      </w:r>
    </w:p>
    <w:p>
      <w:r>
        <w:t>In line with community precedents and as indicated by the notifying party, MMA, PMMAs, and SpMAs are separate product markets to the extent that they cannot be replaced by other products:</w:t>
      </w:r>
    </w:p>
    <w:p>
      <w:r>
        <w:t>• Market for the manufacturing and distribution of MMA:</w:t>
        <w:br/>
        <w:t>MMA is a monomer that is obtained in liquid form through a chemical process from hydrocyanic acid, acetone, and methanol. MMA constitutes the raw material for many products in the acrylic production industry, including PMMAs, SpMAs, and acrylic resins.</w:t>
      </w:r>
    </w:p>
    <w:p>
      <w:r>
        <w:t>• Market for the manufacturing and distribution of PMMAs:</w:t>
        <w:br/>
        <w:t>MMA polymers (PMMAs) are obtained through a polymerization process of MMA, a chemical process by which monomers group together to form a larger weight molecule, called a polymer. These polymers possess a series of properties that make them particularly attractive for a wide range of applications in different markets.</w:t>
      </w:r>
    </w:p>
    <w:p>
      <w:r>
        <w:t>In this regard, it should be noted that the Commission has considered in the case COMP/F/38.645-Methacrylates the possibility of segmenting this market based on its applications in downstream markets: solid sheets, moldable compounds, and sanitary ceramics. However, the notifying party considers that it is not necessary to analyze such segmentation since there is no overlap in PMMA activities between the parties.</w:t>
      </w:r>
    </w:p>
    <w:p>
      <w:r>
        <w:t>To the extent that the definition of narrower markets does not alter the conclusions of the analysis, given that MITSUBISHI is not present in these markets, this Investigation Directorate does not consider it necessary to segment the markets for the purposes of the present operation, so the market for the manufacturing and distribution of PMMAs will be analyzed.</w:t>
      </w:r>
    </w:p>
    <w:p>
      <w:r>
        <w:t>• Market for the manufacturing and distribution of SpMAs:</w:t>
        <w:br/>
        <w:t>SpMAs are typically obtained through a chemical modification process of MMA in order to achieve the specific desired characteristics based on their end use.</w:t>
      </w:r>
    </w:p>
    <w:p>
      <w:r>
        <w:t>VI.2. Geographic Market</w:t>
      </w:r>
    </w:p>
    <w:p>
      <w:r>
        <w:t>According to the notifying party and the cited community precedents, the relevant geographic scope of the markets for the products affected by the operation is the EEA, as competitors supply their products to customers throughout the EEA, and the competitive parameters in this area are sufficiently homogeneous to ensure unrestricted trade within all levels of the industry related to MMA.</w:t>
      </w:r>
    </w:p>
    <w:p>
      <w:r>
        <w:t>However, the market shares of the parties in Spain will also be analyzed.</w:t>
      </w:r>
    </w:p>
    <w:p>
      <w:r>
        <w:t>VI.3. Conclusion on Relevant Markets</w:t>
      </w:r>
    </w:p>
    <w:p>
      <w:r>
        <w:t>In conclusion, this Investigation Directorate will analyze the effects of the operation in the following markets: (i) market for the manufacturing and distribution of MMA, in the EEA and in Spain; (ii) market for the manufacturing and distribution of PMMAs, in the EEA and in Spain; (iii) market for the manufacturing and distribution of SpMAs, in the EEA and in Spain.</w:t>
      </w:r>
    </w:p>
    <w:p>
      <w:r>
        <w:t>VII. MARKET ANALYSIS</w:t>
      </w:r>
    </w:p>
    <w:p>
      <w:r>
        <w:t>VII.1. Supply Structure</w:t>
      </w:r>
    </w:p>
    <w:p>
      <w:r>
        <w:t>The following are the market shares of the parties in the markets at the EEA level. In this regard, it should be noted that the notifying party only provides the shares in volume, although it estimates that the shares in value are very similar:</w:t>
      </w:r>
    </w:p>
    <w:p>
      <w:r>
        <w:rPr>
          <w:b/>
        </w:rPr>
        <w:t>[Pages 7–8]</w:t>
      </w:r>
    </w:p>
    <w:p>
      <w:r>
        <w:t>VII. MARKET ANALYSIS</w:t>
      </w:r>
    </w:p>
    <w:p>
      <w:r>
        <w:t>VII.1. Supply Structure</w:t>
      </w:r>
    </w:p>
    <w:p>
      <w:r>
        <w:t>The market shares of the parties in the markets at the EEA level are presented below. In this regard, it should be noted that the notifying party only provides the shares in volume, although it estimates that the value shares are very similar:</w:t>
      </w:r>
    </w:p>
    <w:p>
      <w:r>
        <w:t>MARKET SHARES OF MAIN AGENTS IN THE EEA (2007)</w:t>
      </w:r>
    </w:p>
    <w:p>
      <w:r>
        <w:t xml:space="preserve">MMA SpMAs PMMA  </w:t>
        <w:br/>
        <w:t xml:space="preserve">% Volume % Volume % Volume  </w:t>
        <w:br/>
        <w:t xml:space="preserve">MITSUBISHI [0-10]% [0-10]% [0-10]%  </w:t>
        <w:br/>
        <w:t xml:space="preserve">LUCITE [40-50]% [40-50]% [10-20]%  </w:t>
        <w:br/>
        <w:t xml:space="preserve">MITSUBISHI+LUCITE [40-50]% [40-50]% [10-20]%  </w:t>
        <w:br/>
        <w:t xml:space="preserve">ARKEMA [0-10]% [10-20]% [20-30]%  </w:t>
        <w:br/>
        <w:t xml:space="preserve">EVONIK [20-30]% [20-30]% [30-40]%  </w:t>
        <w:br/>
        <w:t xml:space="preserve">REPSOL [0-10]% [10-20]% [0-10]%  </w:t>
        <w:br/>
        <w:t xml:space="preserve">Others [10-20]% [0-10]% [20-30]%  </w:t>
        <w:br/>
        <w:t xml:space="preserve">Total 100% 100% 100%  </w:t>
        <w:br/>
        <w:t>Source: Notifying party</w:t>
      </w:r>
    </w:p>
    <w:p>
      <w:r>
        <w:t>The market shares of the parties in the markets in Spain are presented below. In this regard, it should be noted that the notifying party only provides the shares in volume, although it estimates that the value shares are very similar:</w:t>
      </w:r>
    </w:p>
    <w:p>
      <w:r>
        <w:t>SHARES OF MAIN AGENTS IN SPAIN (2007)</w:t>
      </w:r>
    </w:p>
    <w:p>
      <w:r>
        <w:t xml:space="preserve">MMA SpMAs PMMA  </w:t>
        <w:br/>
        <w:t xml:space="preserve">% Volume % Volume % Volume  </w:t>
        <w:br/>
        <w:t xml:space="preserve">MITSUBISHI [0-10]% [0-10]% [0-10]%  </w:t>
        <w:br/>
        <w:t xml:space="preserve">LUCITE [40-50]% [80-90]% [10-20]%  </w:t>
        <w:br/>
        <w:t xml:space="preserve">MITSUBISHI+LUCITE [40-50]% [80-90]% [10-20]%  </w:t>
        <w:br/>
        <w:t xml:space="preserve">ARKEMA [0-10]% [0-10]% [30-40]%  </w:t>
        <w:br/>
        <w:t xml:space="preserve">EVONIK [10-20]% [0-10]% [20-30]%  </w:t>
        <w:br/>
        <w:t xml:space="preserve">REPSOL [30-40]% [0-10]% [0-10]%  </w:t>
        <w:br/>
        <w:t xml:space="preserve">Others [0-10]% [0-10]% [20-30]%  </w:t>
        <w:br/>
        <w:t xml:space="preserve">Total 100% 100% 100%  </w:t>
        <w:br/>
        <w:t>Source: Notifying party</w:t>
      </w:r>
    </w:p>
    <w:p>
      <w:r>
        <w:t>VII.2. Demand and Distribution Structure:</w:t>
      </w:r>
    </w:p>
    <w:p>
      <w:r>
        <w:t>According to the notifying party, the main customers of the parties are multinational companies with strong bargaining power, capable of easily switching suppliers mainly because the supply contracts they sign are not exclusive.</w:t>
      </w:r>
    </w:p>
    <w:p>
      <w:r>
        <w:t>Among the main customers of LUCITE in the Spanish market for MMA and SpMA are […]. Within the EEA market, the previous customers are included along with […], for the MMA market and […] for the SpMA market.</w:t>
      </w:r>
    </w:p>
    <w:p>
      <w:r>
        <w:t>MITSUBISHI is only active in the EEA SpMA market, where notable customers include […]</w:t>
      </w:r>
    </w:p>
    <w:p>
      <w:r>
        <w:t>LUCITE and MITSUBISHI distribute their products through their own sales teams, which usually rely on a network of independent agents and distributors.</w:t>
      </w:r>
    </w:p>
    <w:p>
      <w:r>
        <w:t>VII.3. Potential Competition - Barriers to Entry</w:t>
      </w:r>
    </w:p>
    <w:p>
      <w:r>
        <w:t>According to the notifying party, there are no significant barriers to entry, as technology for the production of these products is accessible to any operator. The entry or expansion costs will depend on the size of the facilities to be built but are not prohibitive.</w:t>
      </w:r>
    </w:p>
    <w:p>
      <w:r>
        <w:t>VIII. ASSESSMENT</w:t>
      </w:r>
    </w:p>
    <w:p>
      <w:r>
        <w:t>The notified operation consists of the acquisition by MITSUBISHI of exclusive control over LUCITE. The sector affected by the operation is the production and distribution of chemical products and plastic derivatives. In particular, methyl methacrylate (MMA), MMA polymers (PMMAs), and certain specialized methacrylates (SpMAs).</w:t>
      </w:r>
    </w:p>
    <w:p>
      <w:r>
        <w:t>The relevant markets are the manufacturing and distribution market for MMA, the manufacturing and distribution market for PMMAs, and the manufacturing and distribution market for SpMAs, all of which are of EEA dimension.</w:t>
      </w:r>
    </w:p>
    <w:p>
      <w:r>
        <w:t>As a result of the operation, the shares of the resulting entity in the EEA rise to [40-50]% in the manufacturing and distribution market for MMA (addition of [40-50]%), to [10-20]% in the manufacturing and distribution market for PMMAs (addition of [10-20]%), and to [40-50]% in the manufacturing and distribution market for SpMAs (addition of [40-50]%).</w:t>
        <w:br/>
        <w:t>In the Spanish market, the shares of the resulting entity in the EEA rise to [40-50]% in the manufacturing and distribution market for MMA (addition of [40-50]%), to [10-20]% in the manufacturing and distribution market for PMMAs (addition of [10-20]%), and to [80-90]% in the manufacturing and distribution market for SpMAs (addition of [80-90]%).</w:t>
        <w:br/>
        <w:t>Despite the high market shares, the operation does not imply a change in the supply structure, since MITSUBISHI is not present in these markets in Spain and its presence in the EEA is residual, thus only acquiring LUCITE's position in the relevant markets considered. Furthermore, MITSUBISHI is not present in vertically related markets in Spain and, at the EEA level, only marginally. Additionally, according to the notifying party, in all analyzed markets there are significant competitors, such as Arkema, Evonik, and Repsol, demand has high bargaining power, and there are no significant barriers to entry.</w:t>
      </w:r>
    </w:p>
    <w:p>
      <w:r>
        <w:t>Taking into account the considerations presented, it is not expected that the operation poses a threat to effective competition in the markets considered within the national territory.</w:t>
      </w:r>
    </w:p>
    <w:p>
      <w:r>
        <w:t>IX.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