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https://www.cnmc.es/expedientes/c012908</w:t>
      </w:r>
    </w:p>
    <w:p>
      <w:r>
        <w:t>Pages translated : 8</w:t>
      </w:r>
    </w:p>
    <w:p/>
    <w:p>
      <w:r>
        <w:rPr>
          <w:b/>
        </w:rPr>
        <w:t>[Pages 1–3]</w:t>
      </w:r>
    </w:p>
    <w:p>
      <w:r>
        <w:t xml:space="preserve">NATIONAL COMMISSION  </w:t>
        <w:br/>
        <w:t xml:space="preserve">FOR COMPETITION  </w:t>
        <w:br/>
        <w:t>RESOLUTION (File C-0129/08, SAIBOT/RSVP/21 INVESTIMENTI PARTNERS)</w:t>
      </w:r>
    </w:p>
    <w:p>
      <w: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January 15, 2009.</w:t>
      </w:r>
    </w:p>
    <w:p>
      <w:r>
        <w:t>Having reviewed the file processed in accordance with Law 15/2007, of July 3, on the Defense of Competition, regarding the economic concentration consisting of the acquisition by SAIBOT S.r.l. and RSVP S.r.l. of joint control of 21 Investimenti Partners S.p.A. (File C/0129/08)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NATIONAL COMMISSION  </w:t>
        <w:br/>
        <w:t xml:space="preserve">DIRECTORATE OF COMPETITION INVESTIGATION  </w:t>
        <w:br/>
        <w:t xml:space="preserve">REPORT AND PROPOSED RESOLUTION  </w:t>
        <w:br/>
        <w:t>FILE C/0129/08 SAIBOT / RSVP / 21 INVESTIMENTI PARTNERS</w:t>
      </w:r>
    </w:p>
    <w:p>
      <w:r>
        <w:t>On December 26, 2008, a notification regarding the concentration operation consisting of the acquisition by Saibot S.r.l. (hereinafter "SAIBOT") and RSVP S.r.l. (hereinafter "RSVP") of joint control of 21Investimenti Partners S.p.A. (hereinafter "21 IP") was received by this Directorate of Investigation.</w:t>
      </w:r>
    </w:p>
    <w:p>
      <w:r>
        <w:t>This notification has been made by SAIBOT and RSVP, as established in Article 9.4 of Law 15/2007, of July 3, on the Defense of Competition, for exceeding the threshold established in Article 8.1.a). This operation is subject to the provisions of Royal Decree 261/2008, of February 22, which approves the Competition Defense Regulation.</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According to the above, the deadline to agree to initiate the second phase of the procedure is January 26, 2009, inclusive. After this date, the notified operation will be considered tacitly authorized.</w:t>
      </w:r>
    </w:p>
    <w:p>
      <w:r>
        <w:t xml:space="preserve">I. NATURE OF THE OPERATION  </w:t>
        <w:br/>
        <w:t>The notified operation consists of the acquisition by SAIBOT and RSVP of joint control of 21 IP. As a result of this operation, Ragione S.p.A. (hereinafter RAGIONE) disassociates from 21 IP and ceases to control it.</w:t>
      </w:r>
    </w:p>
    <w:p>
      <w:r>
        <w:t>This operation results from a series of share purchases and a shareholders' agreement that are described below.</w:t>
      </w:r>
    </w:p>
    <w:p>
      <w:r>
        <w:t xml:space="preserve">Regarding the share purchases:  </w:t>
        <w:br/>
        <w:t>1 The CNC is already aware that 21 IP is controlled by Ragione as a result of files N-06039 21 CP/Vulcanic; C/0075/08 21 Centrale Partners S.A./Microcar, S.A.S.; and C/0093/08 21 Centrale Partners S.A./Interflora España. Currently, the share capital of 21 IP is distributed among Ragione (30% through the company 21 Investimenti S.p.A), SAIBOT (50%), and Banca Popolare di Vicenza (20%). SAIBOT is a company of Mr. Alessandro Benetton, son of Mr. Luciano Benetton, one of the shareholders of RAGIONE. Although SAIBOT holds a 50% stake in 21 IP prior to the operation, according to the notifying parties, within a family company like 21 IP, decisions are made by the Benetton family (RAGIONE), without SAIBOT currently being a separate decision-making center.</w:t>
      </w:r>
    </w:p>
    <w:p>
      <w:r>
        <w:t xml:space="preserve">- Firstly, RAGIONE sells to the managers of 21 Partners SGR S.p.A. (hereinafter 21 SGR) and 21 Centrale Partners S.A. (hereinafter 21 CP), companies exclusively controlled by 21 IP, 16% of the shares of 21 IP (hereinafter the managers of 21 SGR and 21 CP will be referred to as "the Managers").  </w:t>
        <w:br/>
        <w:t xml:space="preserve">- Secondly, the Managers create the company RSVP, which is not controlled by any of them, either individually or jointly. RSVP will acquire 23% of the share capital of 21 IP, as explained below:  </w:t>
        <w:br/>
        <w:t xml:space="preserve">(i) RAGIONE will sell to RSVP 14% of the capital of 21 IP. That is, Ragione will have no participation in 21 IP, as its original 30% participation will have been transferred 16% to the Managers and 14% to RSVP.  </w:t>
        <w:br/>
        <w:t>(ii) Saibot will sell to RSVP 9% of the capital of 21 IP, thereby reducing its participation from 50% to 41%.</w:t>
      </w:r>
    </w:p>
    <w:p>
      <w:r>
        <w:t>In summary, the result of the operation entails the following distribution of the shareholding of 21 IP: SAIBOT (41%), RSVP (23%), Banca Popolare di Vicenza (20%, as today), Managers (16%).</w:t>
      </w:r>
    </w:p>
    <w:p>
      <w:r>
        <w:t>On the other hand, a shareholders' agreement was signed on October 1, 2008, between SAIBOT, RSVP, and the Managers, under which the control of the company is jointly entrusted to SAIBOT and RSVP. The Board of Directors of 21 IP will be composed of nine members, of which four will be appointed by SAIBOT, four by RSVP, and one by Banca Popolare di Vicenza. Decisions of the Board of Directors on a qualified set of matters (acquisition or sale of shares, investments, loans, etc.) will be made by a majority of 7 councilors.</w:t>
      </w:r>
    </w:p>
    <w:p>
      <w:r>
        <w:t>Finally, it should be noted that the execution of the notified operation is conditioned upon the authorization of the operation by the competition authorities of Spain.</w:t>
      </w:r>
    </w:p>
    <w:p>
      <w:r>
        <w:t xml:space="preserve">II. APPLICABILITY OF LAW 15/2007 ON THE DEFENSE OF COMPETITION  </w:t>
        <w:b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given that the estimated market share of some of the companies controlled by 21 IP in their markets is above the 30% threshold established in Article 8.1.a) of the same.</w:t>
      </w:r>
    </w:p>
    <w:p>
      <w:r>
        <w:t xml:space="preserve">Furthermore, the operation complies with the requirements set forth in Article 56.1.a) of the aforementioned Law 15/2007 for its processing as an expedited procedure.  </w:t>
        <w:br/>
        <w:t>The 16% of capital acquired by the Managers in 21 IP will be in their individual capacity, none of them exceeding 3.6% of the capital.</w:t>
      </w:r>
    </w:p>
    <w:p>
      <w:r>
        <w:rPr>
          <w:b/>
        </w:rPr>
        <w:t>[Pages 4–6]</w:t>
      </w:r>
    </w:p>
    <w:p>
      <w:r>
        <w:t xml:space="preserve">III. PARTICIPATING COMPANIES  </w:t>
        <w:br/>
        <w:t xml:space="preserve">III.1. SAIBOT S.r.l. (SAIBOT)  </w:t>
        <w:br/>
        <w:t xml:space="preserve">SAIBOT is an Italian financial holding company registered among the group of companies active in the financial intermediation sector. Established as a single-member limited liability company, SAIBOT is entirely owned by Mr. Alessandro Benetton and does not hold significant or controlling interests, directly or indirectly, in other companies apart from 21 IP. The turnover of SAIBOT in 2007, in accordance with Article 5 of the Competition Defense Regulation, as reported by the notifying parties, was as follows:  </w:t>
        <w:br/>
        <w:t xml:space="preserve">Turnover of Saibot S.R.L., in 2007 (in thousands of €)  </w:t>
        <w:br/>
        <w:t xml:space="preserve">Worldwide [&lt;2,500,000]  </w:t>
        <w:br/>
        <w:t xml:space="preserve">European Union [&lt;250,000]  </w:t>
        <w:br/>
        <w:t xml:space="preserve">Spain [&lt;60,000]  </w:t>
        <w:br/>
        <w:t xml:space="preserve">Source: Notification  </w:t>
        <w:br/>
        <w:t xml:space="preserve">III.2 RSVP S.r.l. (RSVP)  </w:t>
        <w:br/>
        <w:t xml:space="preserve">RSVP is a newly established special purpose vehicle company, created by the managers of 21 SGR and 21 CP with the exclusive purpose of holding shares in the capital of 21 IP. According to the notifying parties, RSVP is not controlled directly or indirectly by any natural or legal person. Due to its recent establishment, RSVP has no turnover.  </w:t>
        <w:br/>
        <w:t xml:space="preserve">III.3 21 INVESTIMENTI PARTNERS S.p.A. (21 IP)  </w:t>
        <w:br/>
        <w:t xml:space="preserve">21 IP operates in the European private equity market through two companies that it exclusively controls: 21 SGR and 21 CP. The company 21 IP is controlled by RAGIONE, a holding company of the Benetton group, which in turn is controlled by the Benetton family.  </w:t>
        <w:br/>
        <w:t xml:space="preserve">As mentioned, 21 IP also controls the companies 21 SGR and 21 CP, both active in the medium-sized private equity sector. Specifically:  </w:t>
        <w:br/>
        <w:t xml:space="preserve">(i) 21 SGR is the Italian entity of 21 IP. The company is dedicated to providing collective savings management services through the establishment, promotion, and organization of closed-end mutual investment funds. In turn, 21 SGR manages various investment funds, in particular, the following: Giada Equity Fund, Idea Industria, and 21 Investimenti II. None of the companies controlled by 21 SGR through its investment funds operate or have sales in Spain.  </w:t>
        <w:br/>
        <w:t xml:space="preserve">(ii) 21 CP is the French entity of 21 IP. It is a private equity company specialized in leveraged buyouts (growth leverage buy-outs “LBOs”) and in investing in medium-sized companies with enterprise values between 50 and 250 million euros. In turn, 21 CP manages various investment funds, in particular, the following: 21 Développement, 21 Développement 2, and 21 Central Partners III. Several of the companies controlled by 21 CP through its investment funds operate or have sales in Spain. The main ones are Ligier and Microcar (manufacturing of motor quadricycles), Interflora (floristry), and Vulcanic (electric cooling and heating solutions for industry).  </w:t>
        <w:br/>
        <w:t xml:space="preserve">The turnover of 21 IP in 2007, in accordance with Article 5 of the Competition Defense Regulation, as reported by the notifying parties, was as follows:  </w:t>
        <w:br/>
        <w:t xml:space="preserve">Turnover of 21 Investimenti Partners S.p.A., in 2007 (in millions of €)  </w:t>
        <w:br/>
        <w:t xml:space="preserve">Worldwide [&lt;2,500]  </w:t>
        <w:br/>
        <w:t xml:space="preserve">European Union [&gt;250]  </w:t>
        <w:br/>
        <w:t xml:space="preserve">Spain [&gt;60]  </w:t>
        <w:br/>
        <w:t xml:space="preserve">Source: Notification  </w:t>
        <w:br/>
        <w:t xml:space="preserve">IV. RELEVANT MARKET  </w:t>
        <w:br/>
        <w:t xml:space="preserve">The notified operation corresponds to a change in the control of 21 IP, which will be controlled by SAIBOT, a holding company that does not hold significant or controlling interests, directly or indirectly, in other companies apart from 21 IP and RSVP, a special purpose vehicle established solely to hold shares in the capital of 21 IP, resulting in no alteration of the structure of the markets in which 21 IP is present.  </w:t>
        <w:br/>
        <w:t xml:space="preserve">Therefore, this Directorate of Investigation, considering the request in this regard from the notifying parties, does not find it necessary to proceed with a detailed description of the markets in which the companies controlled by 21 SGR and 21 CP, that is, by 21 IP, are present.  </w:t>
        <w:br/>
        <w:t xml:space="preserve">However, a brief reference will be made to the companies that equal or exceed a market share of 30% in Spain in 2007, which is the reason why this concentration operation has been notified under Article 8 of the LDC.  </w:t>
        <w:br/>
        <w:t xml:space="preserve">The turnover is based on the annual accounts corresponding to the financial year ending December 31, 2007, to which the turnover corresponding to 2007 of the companies that have entered or exited the control of 21 IP (including 21 SGR and 21 CP) since the end of the 2007 financial year has been added or subtracted. For example, the acquisition in 2008 by 21 CP of Ligier, S.A.S. and Microcar, S.A.S., and Interflora España, operations analyzed by this Commission, files C-0075/08 and C-0093/08, respectively.  </w:t>
        <w:br/>
        <w:t xml:space="preserve">IV.1. Product Markets  </w:t>
        <w:br/>
        <w:t xml:space="preserve">According to the notifying parties, neither SAIBOT nor RSVP market any goods or services. Regarding 21 IP, the companies controlled by this company that equal or exceed a market share of 30% in Spain in 2007 are:  </w:t>
        <w:br/>
        <w:t xml:space="preserve">• Automobiles Ligier, S.A.S./ Microcar S.A.S.  </w:t>
        <w:br/>
        <w:t xml:space="preserve">The sector in which the activity of these companies is framed concerns motor quadricycles (commonly known as micro-cars). The product market analyzed in operation C/0075/08 was that of the manufacturing and wholesale distribution of new light quadricycles, indirectly affecting the vertically related market of their retail distribution.  </w:t>
        <w:br/>
        <w:t xml:space="preserve">• Interflora España  </w:t>
        <w:br/>
        <w:t xml:space="preserve">The economic sector in which the activities of this company are framed includes the management and remote delivery of flowers and plants. As established by this Commission in operation C/0093/08, the services of managing remote floral deliveries fundamentally consist of organizing and administering the necessary conditions to receive an order, transmit it, execute it, manage the payment and collection flows that arise, as well as determining the characteristics and conditions of the orders received and those executed by the florists organized in a network.  </w:t>
        <w:br/>
        <w:t xml:space="preserve">• Vulcanic  </w:t>
        <w:br/>
        <w:t xml:space="preserve">The Vulcanic Group designs, produces, and markets electrotechnical components and comprehensive heating and cooling solutions for various industrial applications, as well as electrical transformers. The Competition Defense Service (hereinafter SDC) in its report N-06039 considered that the relevant market for the products marketed by Vulcanic in Spain was that of medium and low voltage transformers, that is, those comprising levels of up to 1000V for the low range, and those from 1 to 52kv for the medium range. Nevertheless, the SDC estimated that, in any case, it was not necessary to close the definition.  </w:t>
        <w:br/>
        <w:t xml:space="preserve">IV.2. Geographic Markets  </w:t>
        <w:br/>
        <w:t xml:space="preserve">• Automobiles Ligier, S.A.S./ Microcar S.A.S.  </w:t>
        <w:br/>
        <w:t>According to file C/0075/08, the dimension of the market for the manufacturing and wholesale distribution of quadricycles can be estimated to encompass the entire European Economic Area (EEA). Regarding retail distribution, it could be noted that the CNC has analyzed these companies and the markets in which they operate following the processing of Files N-06039 21 CP/Vulcanic; C-0075/08 21 Centrale Partners S.A./Microcar, S.A.S.; and C-0093/08 21 Centrale Partners S.A./Interflora España.</w:t>
      </w:r>
    </w:p>
    <w:p>
      <w:r>
        <w:rPr>
          <w:b/>
        </w:rPr>
        <w:t>[Pages 7–8]</w:t>
      </w:r>
    </w:p>
    <w:p>
      <w:r>
        <w:t xml:space="preserve">estimated to be of national dimension due to the reduced relevance of parallel trade between Member States and the different distribution policies in EEA countries.  </w:t>
        <w:br/>
        <w:t xml:space="preserve">• Interflora España  </w:t>
        <w:br/>
        <w:t xml:space="preserve">In file 438/98, the Competition Defense Tribunal considered that the market for the distance delivery of flowers and ornamental plants was of national scope. However, the CNC's resolution in operation C/0093/08 warns that the development that the sale of flowers and ornamental plants via the Internet has experienced in recent years could lead to considering a market of a supranational nature.  </w:t>
        <w:br/>
        <w:t xml:space="preserve">• Vulcanic  </w:t>
        <w:br/>
        <w:t xml:space="preserve">Without confirming the supranationality of the market or closing the geographical definition, the report N-06039 of the SDC pointed out this possibility, which was already noted in previous cases regarding the manufacture and supply of equipment and components for energy transmission and distribution networks, including transformers.  </w:t>
        <w:br/>
        <w:t xml:space="preserve">V. MARKET ANALYSIS  </w:t>
        <w:br/>
        <w:t xml:space="preserve">The market shares of the companies of 21 IP with a market share exceeding 30% in Spain in 2007 are approximately:  </w:t>
        <w:br/>
        <w:t xml:space="preserve">- [40-50]% by Ligier/Microcar, according to the registrations of quadricycles, as stated in file C/0075/08;  </w:t>
        <w:br/>
        <w:t xml:space="preserve">- [70-80]% by Interflora, as stated in file C/0093/08; and  </w:t>
        <w:br/>
        <w:t xml:space="preserve">- [40-50]% by Vulcanic, according to estimates from the notifying parties.  </w:t>
        <w:br/>
        <w:t xml:space="preserve">VI. ASSESSMENT OF THE OPERATION  </w:t>
        <w:br/>
        <w:t xml:space="preserve">The notified concentration operation consists of the acquisition by SAIBOT and RSVP of joint control of 21 IP.  </w:t>
        <w:br/>
        <w:t xml:space="preserve">Both SAIBOT and RSVP do not control, directly or indirectly, any company or assets in the economic sectors in which 21 IP is present. The companies controlled by 21 IP that equal or exceed a market share of 30% in Spain in 2007 are LIGIER/MICROCAR [40-50%], Interflora España [70-80%], and Vulcanic [40-50%].  </w:t>
        <w:br/>
        <w:t xml:space="preserve">The operation involves a transfer of market share, with no horizontal or vertical overlap between the parties in Spain and, therefore, this operation does not lead to any modification in the competitive structure of the markets in which the companies under the control of 21 IP operate.  </w:t>
        <w:br/>
        <w:t xml:space="preserve">Taking into account the considerations presented, it cannot be expected that the notified operation poses a threat to effective competition in the analyzed markets.  </w:t>
        <w:b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