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https://www.cnmc.es/expedientes/c013709</w:t>
      </w:r>
    </w:p>
    <w:p>
      <w:r>
        <w:t>Pages translated : 8</w:t>
      </w:r>
    </w:p>
    <w:p/>
    <w:p>
      <w:r>
        <w:rPr>
          <w:b/>
        </w:rPr>
        <w:t>[Pages 1–3]</w:t>
      </w:r>
    </w:p>
    <w:p>
      <w:r>
        <w:t>NATIONAL COMPETITION COMMISSION</w:t>
        <w:br/>
        <w:t>RESOLUTION (File C-0137/09, CARBOSULF/RÜTGERS)</w:t>
        <w:br/>
        <w:t>COUNCIL</w:t>
        <w:br/>
        <w:t>Mr. Luis Berenguer Fuster, President</w:t>
        <w:br/>
        <w:t>Mr. Fernando Torremocha García-Sáenz, Vice President</w:t>
        <w:br/>
        <w:t>Mr. Emilio Conde Fernández-Oliva, Councilor</w:t>
        <w:br/>
        <w:t>Mr. Miguel Cuerdo Mir, Councilor</w:t>
        <w:br/>
        <w:t>Ms. Pilar Sánchez Núñez, Councilor</w:t>
        <w:br/>
        <w:t>Mr. Julio Costas Comesaña, Councilor</w:t>
        <w:br/>
        <w:t>Ms. Mª Jesús González López, Councilor</w:t>
        <w:br/>
        <w:t>Ms. Inmaculada Gutiérrez Carrizo, Councilor</w:t>
        <w:br/>
        <w:t>In Madrid, on April 29, 2009.</w:t>
        <w:br/>
        <w:t>Having reviewed the file processed in accordance with Law 15/2007, of July 3, on the Defense of Competition, regarding the economic concentration consisting of the acquisition by CARBOSULF of exclusive control over certain assets of RÜTGERS that comprise the thiocyanates business division (File C/0137/09) and agreeing with the report and proposal submitted by the Directorate of Investigation, the Council of the National Competition Commission has resolved, pursuant to Article 57.2.a) of the aforementioned Law, to authorize the said concentration operation in the first phase.</w:t>
        <w:br/>
        <w:t>This Resolution shall be communicated to the Directorate of Investigation of the National Competition Commission and notified to the interested parties, informing them that it concludes the administrative process and that a contentious-administrative appeal may be filed against it before the National Court, within two months from its notification.</w:t>
      </w:r>
    </w:p>
    <w:p>
      <w:r>
        <w:t>DIRECTORATE OF INVESTIGATION</w:t>
        <w:br/>
        <w:t>REPORT AND PROPOSED RESOLUTION</w:t>
        <w:br/>
        <w:t>FILE C/0137/09 CARBOSULF / RÜTGERS</w:t>
        <w:br/>
        <w:t>1. BACKGROUND</w:t>
        <w:br/>
        <w:t>(1) On March 3, 2009, this Directorate of Investigation received notification of the acquisition by CARBOSULF of exclusive control over certain assets of RÜTGERS that comprise the thiocyanates business division.</w:t>
        <w:br/>
        <w:t>(2) This notification has been made by CARBOSULF in accordance with Article 9 of Law 15/2007, of July 3, on the Defense of Competition, for exceeding the threshold established in Article 8.1a). This operation is subject to the provisions of Royal Decree 261/2008 of February 22, which approves the Competition Defense Regulation.</w:t>
        <w:br/>
        <w:t>(3) Article 57.2.c) of Law 15/2007 establishes that the Council of the National Competition Commission shall issue a resolution in the first phase in which it may agree to initiate the second phase of the procedure when it considers that the concentration may hinder the maintenance of effective competition in all or part of the national market.</w:t>
        <w:br/>
        <w:t>(4) Furthermore, Article 38.2 of Law 15/2007 adds: "The expiration of the maximum period established in Article 36.2.a) of this Law for the resolution in the first phase of concentration control shall determine the approval of the corresponding request by administrative silence, except in the cases provided for in Articles 9.5, 55.5, and 57.2.d) of this Law."</w:t>
        <w:br/>
        <w:t>(5) In exercise of the provisions of Article 55 of Law 15/2007, the Directorate of Investigation proceeded to a correction on March 11, 2009, and requested from the notifier on April 8, 2009, necessary information for the resolution of the file. The requested information was completed on March 30 and April 21, 2009, respectively.</w:t>
        <w:br/>
        <w:t>(6) According to the above, the deadline to agree to initiate the second phase of the procedure is May 5, 2009, inclusive. Once the period for resolving in the first phase has elapsed, the notified operation shall be deemed tacitly authorized.</w:t>
        <w:br/>
        <w:t>2. NATURE OF THE OPERATION</w:t>
        <w:br/>
        <w:t>(7) Acquisition by CARBOSULF CHEMISCHE WERKE GmbH (hereinafter CARBOSULF) of exclusive control over the assets of RÜTGERS CHEMTRADE GmbH (hereinafter RCT) that comprise the thiocyanates business division.</w:t>
        <w:br/>
        <w:t>1 CARBOSULF will acquire all current intangible assets of RCT and the majority of the materials associated with its thiocyanates division. Those equipment, instruments, etc. that are not acquired by CARBOSULF (as they are not necessary) will be sold by RCT to third parties or destroyed.</w:t>
        <w:br/>
        <w:t>DIRECTORATE OF INVESTIGATION</w:t>
        <w:br/>
        <w:t>(8) The operation is established through a Sale Contract. The parties have presented the most updated version of this contract, as well as a letter signed by the legal representatives of the parties indicating that this version is final and will be signed by the parties if authorization is obtained from the Spanish competition defense authorities.</w:t>
        <w:br/>
        <w:t>3. APPLICABILITY OF LAW 15/2007 ON THE DEFENSE OF COMPETITION</w:t>
        <w:br/>
        <w:t>(9) According to the notifying party, the operation does not fall within the scope of Council Regulation (EC) No 139/2004 of January 20, on the control of concentrations between undertakings.</w:t>
        <w:br/>
        <w:t>(10) The notified operation, however, meets the requirements set forth by Law 15/2007 for its notification, as it exceeds the threshold established in Article 8.1a) thereof.</w:t>
        <w:br/>
        <w:t>4. PARTICIPATING COMPANIES</w:t>
        <w:br/>
        <w:t>4.1 CARBOSULF CHEMISCHE WERKE GmbH</w:t>
        <w:br/>
        <w:t>(11) CARBOSULF is a German company active in the manufacture and sale of various organic and inorganic base elements, as well as chemical specialties, including thiocyanates. CARBOSULF specializes mainly in the production of carbon disulfide and thiocyanates.</w:t>
        <w:br/>
        <w:t>(12) CARBOSULF is an indirect subsidiary of AKZO NOBEL, which owns 67% of the capital. AKZO NOBEL, which is not controlled by any other entity, is an international company dedicated to the production and supply of paints, coatings, and chemical products. The turnover of AKZO NOBEL in the last financial year, in accordance with Art. 5 of R.D. 261/2008, is, according to the notifier, as follows:</w:t>
        <w:br/>
        <w:t>TURNOVER OF AKZO NOBEL</w:t>
        <w:br/>
        <w:t>(millions of euros)</w:t>
        <w:br/>
        <w:t>WORLDWIDE EU SPAIN</w:t>
        <w:br/>
        <w:t>&gt; 2,500 &gt; 250 &gt; 60</w:t>
        <w:br/>
        <w:t>Source: Notification</w:t>
        <w:br/>
        <w:t>4.2 Acquired business</w:t>
        <w:br/>
        <w:t>(13) RCT is a German company dedicated to the manufacture of chemical products and carbon derivatives, particularly chemical specialties (carbon derivatives, aromatics, and especially benzene crude), general chemicals (acids, bases, and sulfates), dyes, and pigments. The business unit of RCT subject to this operation is only active in the chemicals sector as a distributor of thiocyanates. This division sells sodium thiocyanates, ammonium thiocyanates, and potassium thiocyanates and provides logistical support in this regard.</w:t>
      </w:r>
    </w:p>
    <w:p>
      <w:r>
        <w:rPr>
          <w:b/>
        </w:rPr>
        <w:t>[Pages 4–6]</w:t>
      </w:r>
    </w:p>
    <w:p>
      <w:r>
        <w:t>INVESTIGATION DIRECTORATE</w:t>
      </w:r>
    </w:p>
    <w:p>
      <w:r>
        <w:t>RCT has a single storage and packaging plant in Gladbeck (Germany). RCT is entirely owned by the RÜTGERS CHEMICALS GmbH group, which in turn is owned by the private equity company TEEK SA (TRITON).</w:t>
      </w:r>
    </w:p>
    <w:p>
      <w:r>
        <w:t>(14) The turnover of the RCT assets acquired in the last financial year, in accordance with Art. 5 of R.D. 261/2008, is, according to the notifier, as follows:</w:t>
      </w:r>
    </w:p>
    <w:p>
      <w:r>
        <w:t>TURNOVER OF THE ACQUIRED RCT ASSETS</w:t>
        <w:br/>
        <w:t>(millions of euros)</w:t>
        <w:br/>
        <w:t>WORLDWIDE EU SPAIN</w:t>
        <w:br/>
        <w:t>&lt; 2,500 &lt; 250 &lt; 60</w:t>
        <w:br/>
        <w:t>Source: Notification</w:t>
      </w:r>
    </w:p>
    <w:p>
      <w:r>
        <w:t>5. MARKETS AFFECTED BY THE OPERATION</w:t>
      </w:r>
    </w:p>
    <w:p>
      <w:r>
        <w:t>5.1. Product market</w:t>
      </w:r>
    </w:p>
    <w:p>
      <w:r>
        <w:t>(15) The operation affects the sector of inorganic chemical products (NACE code C20); specifically, the distribution of thiocyanates. Thiocyanates are a special type of chemical product (inorganic salts) generated mainly from carbon disulfide, although they can also be produced from gases originating from coke combustion plants and the sodium cyanide process. Thiocyanates are manufactured and marketed for specialized uses in construction, in the textile sector (solvents for synthetic fibers), to protect crops (herbicides, pesticides, fungicides), for pharmaceutical uses (disinfectants, dewormers), as well as in water treatment and photography (fixing additives).</w:t>
      </w:r>
    </w:p>
    <w:p>
      <w:r>
        <w:t>(16) The Commission has analyzed the market for the distribution of chemical products on several occasions, distinguishing the distribution markets of: (i) bulk chemicals, (ii) commodity chemicals, and (iii) specialty chemicals, leaving open the possibility of further segmentations. The present operation affects the broad market for the distribution of specialty chemicals, in which the combined market share would be below 30%.</w:t>
      </w:r>
    </w:p>
    <w:p>
      <w:r>
        <w:t>(17) However, the notifying party considers that the relevant market would be the narrower distribution of thiocyanates. Most of the distribution of thiocyanates is carried out directly by international producers. There are also distributors operating in the market that focus their activity primarily on thiocyanates, as opposed to specialized chemical distributors who typically offer a wide range of products to their customers. On the other hand, the notifier points out that the substitutability of thiocyanates by other products is limited from the demand perspective.</w:t>
      </w:r>
    </w:p>
    <w:p>
      <w:r>
        <w:t>2 Decisions of September 8, 2008, case M.5243 CVC/RAG/EVONIK, of January 21, 2004, case M.3344 BAIN CAPITAL/INTERFER/BRENNTAG, and of January 16, 2001, case M.2244 ROYAL VOPAK/ELLIS &amp; EVERARD, among others.</w:t>
      </w:r>
    </w:p>
    <w:p>
      <w:r>
        <w:t>3</w:t>
      </w:r>
    </w:p>
    <w:p>
      <w:r>
        <w:t>INVESTIGATION DIRECTORATE</w:t>
      </w:r>
    </w:p>
    <w:p>
      <w:r>
        <w:t>(18) Regarding vertical effects, CARBOSULF is active in the manufacturing of thiocyanates, with a share in the global thiocyanate manufacturing market of [20-30%] in 2008 and [10-20%] in 2007. RCT is not present in this market, with CARBOSULF being its main supplier (which, in 2008, supplied […] of RCT's global sales and […] in Spain). Consequently, it is not foreseeable that there will be market foreclosure effects for other suppliers other than CARBOSULF. In light of the above, it is considered that the operation does not produce significant effects in the vertically related markets.</w:t>
      </w:r>
    </w:p>
    <w:p>
      <w:r>
        <w:t>5.2 Geographic market</w:t>
      </w:r>
    </w:p>
    <w:p>
      <w:r>
        <w:t>(19) The notifying party considers that the geographical dimension of the thiocyanate distribution market is global for various reasons: transportation costs are low, producers and distributors sell thiocyanates to end consumers globally without needing local subsidiaries or branches, global trade flows are significant, and there are no significant entry barriers.</w:t>
      </w:r>
    </w:p>
    <w:p>
      <w:r>
        <w:t>5.3. Conclusion</w:t>
      </w:r>
    </w:p>
    <w:p>
      <w:r>
        <w:t>(20) This Directorate of Investigation will analyze the effects on competition of this operation in the global and national thiocyanate distribution markets, without the need to establish an exact definition of them, since, regardless of the segmentations considered, the conclusions of the analysis remain unchanged.</w:t>
      </w:r>
    </w:p>
    <w:p>
      <w:r>
        <w:t>3 The information contained in brackets has been declared confidential.</w:t>
      </w:r>
    </w:p>
    <w:p>
      <w:r>
        <w:t>4</w:t>
      </w:r>
    </w:p>
    <w:p>
      <w:r>
        <w:t>INVESTIGATION DIRECTORATE</w:t>
      </w:r>
    </w:p>
    <w:p>
      <w:r>
        <w:t>6. MARKET ANALYSIS</w:t>
      </w:r>
    </w:p>
    <w:p>
      <w:r>
        <w:t>6.1. Supply structure</w:t>
      </w:r>
    </w:p>
    <w:p>
      <w:r>
        <w:t>(21) According to the notifier, the shares for the affected markets in this operation were as follows:</w:t>
      </w:r>
    </w:p>
    <w:p>
      <w:r>
        <w:t>(i) Global thiocyanate distribution market</w:t>
      </w:r>
    </w:p>
    <w:p>
      <w:r>
        <w:t>GLOBAL THIOCYANATE DISTRIBUTION MARKET</w:t>
        <w:br/>
        <w:t>2006 2007 2008</w:t>
        <w:br/>
        <w:t>Operator Share Share Share</w:t>
        <w:br/>
        <w:t>CARBOSULF [10-20%] [10-20%] [10-20%]</w:t>
        <w:br/>
        <w:t>RCT [10-20%] [10-20%] [10-20%]</w:t>
        <w:br/>
        <w:t>CARBOSULF+RCT [20-30%] [20-30%] [30-40%]</w:t>
        <w:br/>
        <w:t>YIXING LIAO YUAN CHEMICAL CO.,</w:t>
        <w:br/>
        <w:t>[30-40%] [30-40%] [30-40%]</w:t>
        <w:br/>
        <w:t>LTD.</w:t>
        <w:br/>
        <w:t>SHANXI FRIENDS UNION CO., LTD [10-20%] [10-20%] [10-20%]</w:t>
        <w:br/>
        <w:t>ZENGZHOU TUOYANG INDUSTRIAL</w:t>
        <w:br/>
        <w:t>[0-10%] [0-10%] [0-10%]</w:t>
        <w:br/>
        <w:t>CO., LTD</w:t>
        <w:br/>
        <w:t>HENAN YINDU CHEMICAL CO. LTD [0-10%] [0-10%] [0-10%]</w:t>
        <w:br/>
        <w:t>SAPOROSHKOKS [0-10%] [0-10%] [0-10%]</w:t>
        <w:br/>
        <w:t>CHEMTURA CORPORATION [0-10%] [0-10%] [0-10%]</w:t>
        <w:br/>
        <w:t>BARCELONESA DE DROGAS Y</w:t>
        <w:br/>
        <w:t>[0-10%] [0-10%] [0-10%]</w:t>
        <w:br/>
        <w:t>PRODUCTOS QUÍMICOS, S.A.</w:t>
        <w:br/>
        <w:t>OTHERS [0-10%] [0-10%] [0-10%]</w:t>
        <w:br/>
        <w:t>TOTAL 100% 100% 100%</w:t>
        <w:br/>
        <w:t>Source: Notification</w:t>
      </w:r>
    </w:p>
    <w:p>
      <w:r>
        <w:t>(ii) National thiocyanate distribution market</w:t>
      </w:r>
    </w:p>
    <w:p>
      <w:r>
        <w:t>NATIONAL THIOCYANATE DISTRIBUTION MARKET</w:t>
        <w:br/>
        <w:t>2006 2007 2008</w:t>
        <w:br/>
        <w:t>Operator Share Share Share</w:t>
        <w:br/>
        <w:t>CARBOSULF [30-40%] [20-30%] [20-30%]</w:t>
        <w:br/>
        <w:t>RCT [20-30%] [20-30%] [10-20%]</w:t>
        <w:br/>
        <w:t>CARBOSULF+RCT [60-70%] [50-60%] [40-50%]</w:t>
        <w:br/>
        <w:t>BARCELONESA DE DROGAS Y</w:t>
        <w:br/>
        <w:t>[20-30%] [20-30%] [30-40%]</w:t>
        <w:br/>
        <w:t>PRODUCTOS QUÍMICOS, S.A.</w:t>
        <w:br/>
        <w:t>CHINESE DIRECT SALES [10-20%] [10-20%] [20-30%]</w:t>
        <w:br/>
        <w:t>OTHERS [0-10%] [0-10%] [0-10%]</w:t>
        <w:br/>
        <w:t>TOTAL 100% 100% 100%</w:t>
        <w:br/>
        <w:t>Source: Notification</w:t>
      </w:r>
    </w:p>
    <w:p>
      <w:r>
        <w:t>(22) CARBOSULF produces and sells thiocyanates to distributors (such as RTC) or directly to large industrial customers worldwide, using the sales offices of AKZO NOBEL that act as agents. Typically, CARBOSULF's large customers, such as BASF, centralize their orders through a single purchasing center for the entire group, in order to have greater purchasing power and improve their negotiating capacity. RCT collects direct sales to end customers.</w:t>
      </w:r>
    </w:p>
    <w:p>
      <w:r>
        <w:rPr>
          <w:b/>
        </w:rPr>
        <w:t>[Pages 7–8]</w:t>
      </w:r>
    </w:p>
    <w:p>
      <w:r>
        <w:t>DIRECTORATE OF INVESTIGATION</w:t>
      </w:r>
    </w:p>
    <w:p>
      <w:r>
        <w:t>operates merely as a trader selling directly to end customers as well as to other distributors without the need for regional offices.</w:t>
      </w:r>
    </w:p>
    <w:p>
      <w:r>
        <w:t>(23) In recent years, there has been a notable loss of market share in the national market by RCT in favor of BARCELONESA […]. On the other hand, the notifying party indicates that there is potential competition from other international chemical distribution companies such as BRENNTAG and the PENTA GROUP.</w:t>
      </w:r>
    </w:p>
    <w:p>
      <w:r>
        <w:t>6.2. Demand Structure</w:t>
      </w:r>
    </w:p>
    <w:p>
      <w:r>
        <w:t>(24) The main competitive factor in this market is price, as it is a homogeneous product, making brand image or loyalty to it irrelevant. According to the notifying party, prices are usually set by phone, email, or regular mail, making comparison straightforward for consumers. Operators in this market make both direct sales to industrial customers and sales to traders or distributors who subsequently sell to other traders or end customers. It is easy for customers to switch suppliers as there are no exclusive or long-term distribution contracts (orders are usually placed with a lead time of between 6 months and a year).</w:t>
      </w:r>
    </w:p>
    <w:p>
      <w:r>
        <w:t>(25) The four main customers of CARBOSULF […] account for a […] of the value of its sales. The four main customers of RCT […] represent […] of the value of its sales.</w:t>
      </w:r>
    </w:p>
    <w:p>
      <w:r>
        <w:t>6.3. Barriers to Entry</w:t>
      </w:r>
    </w:p>
    <w:p>
      <w:r>
        <w:t>(26) According to the notifying party, there are no insurmountable technical or economic barriers to entry. There are also no significant legal barriers. In this regard, there have been many new entrants to the market in the last 5 years. Particularly noteworthy is the entry since 2002 of various Chinese producers with low prices who have achieved a significant position in the market (approximately 60% of the global market). The notifying party also notes that the South African company SASOL plans to enter the market in the coming years.</w:t>
      </w:r>
    </w:p>
    <w:p>
      <w:r>
        <w:t>7. ASSESSMENT OF THE OPERATION</w:t>
      </w:r>
    </w:p>
    <w:p>
      <w:r>
        <w:t>(27) The operation will entail the acquisition of exclusive control of the RCT assets used for the distribution of thiocyanates by CARBOSULF. The acquisition occurs in the thiocyanate distribution market in which both are active, thus modifying the supply structure.</w:t>
      </w:r>
    </w:p>
    <w:p>
      <w:r>
        <w:t>(28) The combined market share in the global thiocyanate distribution market is [30-40%] (an addition of [10-20%]), thereby reinforcing CARBOSULF's current second position, after YIXING LIAO YUAN CHEMICAL CO., LTD. ([30-40%]). In the Spanish market, where CARBOSULF would move to a leading position, the combined share rises to [40-50%] (an addition of [10-20%]).</w:t>
      </w:r>
    </w:p>
    <w:p>
      <w:r>
        <w:t>(29) Although the shares are significant, the operation is not expected to raise competition concerns. Firstly, because the alteration in the supply structure will be minimal, as CARBOSULF is the main supplier of thiocyanates to RCT (approximately, […] in 2009 of the thiocyanates marketed worldwide by RCT come from CARBOSULF, a percentage that rises to […] in the Spanish case) and was already vertically integrated. Secondly, because there are real and potential competitors in all analyzed markets without significant barriers to entry. In this regard, there has been notable dynamism in market shares in recent years. Furthermore, switching suppliers is not difficult as there are no exclusive or long-term contracts. Finally, it is also noteworthy that the turnover of the acquired assets is small, particularly in Spain ([&lt; 1] million euros).</w:t>
      </w:r>
    </w:p>
    <w:p>
      <w:r>
        <w:t>(30) Considering all of the above, it is not expected that the operation will pose a threat to competition in the analyzed market, and therefore it is likely to be approved in the first phase without commitments.</w:t>
      </w:r>
    </w:p>
    <w:p>
      <w:r>
        <w:t>8. PROPOSAL</w:t>
      </w:r>
    </w:p>
    <w:p>
      <w:r>
        <w:t>In light of all the above and by virtue of Article 57.1 of Law 15/2007, of July 3, on the Defense of Competition, it is proposed to authorize the concentration, in application of Article 57.2.a) of Law 15/2007, of July 3, on the Defense of Competition.</w:t>
      </w:r>
    </w:p>
    <w:p>
      <w:r>
        <w:t>It is also proposed that, following authorization, the parties be required to provide the sale contract signed by the legal representatives of the parties when this signature takes place.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