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https://www.cnmc.es/expedientes/c014009</w:t>
      </w:r>
    </w:p>
    <w:p>
      <w:r>
        <w:t>Pages translated : 3</w:t>
      </w:r>
    </w:p>
    <w:p/>
    <w:p>
      <w:r>
        <w:rPr>
          <w:b/>
        </w:rPr>
        <w:t>[Pages 1–3]</w:t>
      </w:r>
    </w:p>
    <w:p>
      <w:r>
        <w:t xml:space="preserve">NATIONAL COMPETITION  </w:t>
        <w:br/>
        <w:t xml:space="preserve">COMMISSION  </w:t>
        <w:br/>
        <w:t xml:space="preserve">RESOLUTION (File C-0140/09, ACCIONA/ENDESA)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Ms. Mª Jesús González López, Councilor  </w:t>
        <w:br/>
        <w:t xml:space="preserve">Ms. Inmaculada Gutiérrez Carrizo, Councilor  </w:t>
        <w:br/>
        <w:t xml:space="preserve">In Madrid, on April 1, 2009.  </w:t>
        <w:br/>
        <w:t xml:space="preserve">Having reviewed the file processed in accordance with Law 15/2007, of July 3, on the Defense of Competition, regarding the economic concentration consisting of the acquisition by ACCIONA S.A. of exclusive control over certain assets or the companies holding these assets, which are in turn owned by ENDESA S.A., through a purchase agreement. (File C/0140/09)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 xml:space="preserve">DIRECTORATE OF INVESTIGATION  </w:t>
        <w:br/>
        <w:t xml:space="preserve">REPORT AND PROPOSAL FOR RESOLUTION  </w:t>
        <w:br/>
        <w:t xml:space="preserve">FILE C/0140/09 ACCIONA/ENDESA  </w:t>
        <w:br/>
        <w:t xml:space="preserve">I. BACKGROUND  </w:t>
        <w:br/>
        <w:t xml:space="preserve">(1) On March 9, 2009, a notification was received by the National Competition Commission (CNC) regarding the acquisition by ACCIONA S.A. (ACCIONA) of exclusive control over certain assets or the companies holding these assets, which are in turn owned by ENDESA S.A. (ENDESA), through a purchase agreement. This agreement provides, on one hand, for the sale of the shareholding that ACCIONA has in ENDESA to the ENEL Group in early execution of the put option provided in the initial agreement. On the other hand, the contract provides for the sale by ENDESA to ACCIONA of the set of electricity generation assets subject to the present report.  </w:t>
        <w:br/>
        <w:t xml:space="preserve">(2) On March 10, 2009, this Directorate of Investigation requested from the National Energy Commission the report provided for in Article 17.2.c) of Law 15/2007, of July 3, on the Defense of Competition (hereinafter LDC), in relation to the reference file. This report, which was received by the CNC on March 27, 2009, indicates that the operation would not lead to a structural modification that could hinder the maintenance of effective competition in the development of the relevant markets affected by the operation. Additionally, it states that the "impact could even be slightly positive, considering that the greater share of ACCIONA would imply a reduction of ENDESA's share," meaning that concentration indices are reduced with the operation.  </w:t>
        <w:br/>
        <w:t xml:space="preserve">(3) The deadline to agree to initiate the second phase of the procedure is April 27, 2009, inclusive. After this date, the notified operation will be considered tacitly authorized.  </w:t>
        <w:br/>
        <w:t xml:space="preserve">II. APPLICABILITY OF LAW 15/2007 ON THE DEFENSE OF COMPETITION  </w:t>
        <w:br/>
        <w:t xml:space="preserve">(4) The notified operation is an economic concentration in the sense of Article 7.1 b) of the LDC.  </w:t>
        <w:br/>
        <w:t xml:space="preserve">(5) The operation is not of community dimension, as it does not reach the thresholds established in paragraphs 2 and 3 of Article 1 of Regulation (EC) No. 139/2004 of the Council, of January 20, 2004, on the control of concentrations between undertakings.  </w:t>
        <w:br/>
        <w:t xml:space="preserve">(6) The notified operation meets the requirements set forth by the LDC as it exceeds the threshold established in Article 8.1 b) of the same and complies with the requirements set forth in Article 56.1 c) of the aforementioned regulation.  </w:t>
        <w:br/>
        <w:t xml:space="preserve">III. PARTICIPATING COMPANIES  </w:t>
        <w:br/>
        <w:t xml:space="preserve">(7) ACCIONA is controlled by the ENTRECANALES Group and its activities are divided into infrastructure, real estate, energy (mainly renewable), logistics and transport services, urban and environmental services, and others.  </w:t>
        <w:br/>
        <w:t xml:space="preserve">(8) ENDESA is jointly controlled by ENEL and ACCIONA (although it will be exclusively controlled by ENEL after the execution, if applicable, of the operation notified to the European Commission) and its main activity is the production, transportation, distribution, and marketing of electricity. The transmitted assets include wind farms located in Spain and Portugal, as well as hydroelectric plants under special and ordinary regimes located in Spain. The total installed capacity of these assets amounts to 2,104.5 MW.  </w:t>
        <w:br/>
        <w:t xml:space="preserve">IV. ASSESSMENT  </w:t>
        <w:br/>
        <w:t xml:space="preserve">(9) This Directorate of Investigation considers that the present concentration does not pose a threat to effective competition in the markets, since ACCIONA acquires exclusive control over certain assets of ENDESA, over which it already had joint control.  </w:t>
        <w:br/>
        <w:t xml:space="preserve">V.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