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https://www.cnmc.es/expedientes/c014109</w:t>
      </w:r>
    </w:p>
    <w:p>
      <w:r>
        <w:t>Pages translated : 4</w:t>
      </w:r>
    </w:p>
    <w:p/>
    <w:p>
      <w:r>
        <w:rPr>
          <w:b/>
        </w:rPr>
        <w:t>[Pages 1–3]</w:t>
      </w:r>
    </w:p>
    <w:p>
      <w:r>
        <w:t xml:space="preserve">NATIONAL COMPETITION  </w:t>
        <w:br/>
        <w:t xml:space="preserve">COMMISSION  </w:t>
        <w:br/>
        <w:t xml:space="preserve">RESOLUTION (File C-0141/09, IBERICAR-GLOBALIA CORPORACIÓN  </w:t>
        <w:br/>
        <w:t>EMPRESARIAL/GLOBALIA AUTOMÓVILES)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April 1, 2009.</w:t>
      </w:r>
    </w:p>
    <w:p>
      <w:r>
        <w:t>Having reviewed the file processed in accordance with Law 15/2007, of July 3, on the Defense of Competition, relating to the economic concentration consisting of the acquisition by GLOBALIA CORPORACIÓN EMPRESARIAL S.A. and SOCIEDAD IBÉRICA DEL AUTOMÓVIL S.A. of joint control over GLOBALIA AUTOMÓVILES S.L. (File C/0141/09) and agreeing with the report and proposal submitted by the Investigation Directorate, the Council of the National Competition Commission has resolved, in application of Article 57.2.a) of the aforementioned Law, to authorize the said concentration operation in the first phase, except for the duration of the non-compete agreement and the distribution agreement insofar as it exceeds the lifespan of the participating company.</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C/0141/09 IBERICAR-GLOBALIA CORPORACIÓN EMPRESARIAL/  </w:t>
        <w:br/>
        <w:t>GLOBALIA AUTOMÓVILES</w:t>
      </w:r>
    </w:p>
    <w:p>
      <w:r>
        <w:t>I. BACKGROUND</w:t>
      </w:r>
    </w:p>
    <w:p>
      <w:r>
        <w:t>(1) On March 10, 2009, the National Competition Commission (CNC) received notification regarding the acquisition by GLOBALIA CORPORACIÓN EMPRESARIAL, S.A. (GLOBALIA) and SOCIEDAD IBÉRICA DEL AUTOMÓVIL, S.A. (IBERICAR) of joint control over GLOBALIA AUTOMÓVILES, S.L (GLOBALIA AUTOMÓVILES), through a purchase agreement dated December 22, 2008, by which IBERICAR acquires 50% of the share capital of GLOBALIA AUTOMÓVILES, with GLOBALIA retaining 49.957% and JMH 0.0433%.</w:t>
      </w:r>
    </w:p>
    <w:p>
      <w:r>
        <w:t>(2) Following the execution of the transaction, IBERICAR and GLOBALIA will sign a shareholders' agreement that will regulate the relations between them within GLOBALIA AUTOMÓVILES and that confirms the joint control, as these companies share equally the voting rights of the participating company, designating half of the members of its governing bodies.</w:t>
      </w:r>
    </w:p>
    <w:p>
      <w:r>
        <w:t>(3) The deadline to agree to initiate the second phase of the procedure is April 11, 2009, inclusive. After this date, the notified operation will be considered tacitly authorized.</w:t>
      </w:r>
    </w:p>
    <w:p>
      <w:r>
        <w:t>II. APPLICABILITY OF LAW 15/2007 ON THE DEFENSE OF COMPETITION</w:t>
      </w:r>
    </w:p>
    <w:p>
      <w:r>
        <w:t>(4) The notified operation is an economic concentration in the sense of Article 7.1 c of Law 15/2007, of July 3, on the Defense of Competition.</w:t>
      </w:r>
    </w:p>
    <w:p>
      <w:r>
        <w:t>(5) The operation is not of community dimension, since even reaching the thresholds established in paragraphs 2 and 3 of Article 1 of Regulation (EC) No. 139/2004 of the Council, of January 20, 2004, on the control of concentrations between companies, each participant obtains at least two-thirds of the community sales volume in a single Member State (Spain).</w:t>
      </w:r>
    </w:p>
    <w:p>
      <w:r>
        <w:t>(6) The notified operation meets the requirements set forth by Law 15/2007 as it exceeds the threshold established in Article 8.1.b) of the same and complies with the requirements set forth in Article 56.1 b of Law 15/2007.</w:t>
      </w:r>
    </w:p>
    <w:p>
      <w:r>
        <w:t>III. ACCESSORY RESTRICTIONS</w:t>
      </w:r>
    </w:p>
    <w:p>
      <w:r>
        <w:t>(7) The agreement among the partners of GLOBALIA AUTOMÓVILES includes a non-compete agreement whereby IBERICAR and GLOBALIA individually commit not to promote the establishment of companies whose purpose and activity is the urban rental of vehicles without a driver, except by express and written agreement of the parties.</w:t>
      </w:r>
    </w:p>
    <w:p>
      <w:r>
        <w:t>(8) The aforementioned non-compete agreement shall take effect from the entry into force and execution of the participation agreement, until a period of [not exceeding three years] after the date on which either party ceases to be a partner of GLOBALIA AUTOMÓVILES.</w:t>
      </w:r>
    </w:p>
    <w:p>
      <w:r>
        <w:t>(9) Additionally, the participation agreement provides that GLOBALIA AUTOMÓVILES will continue to use the distribution channels of GLOBALIA (retail network of VIAES HALCON and VIAJES ECUADOR and the wholesale network of TRAVELPLAN) during the partnership period of the parties and for a period of [exceeding three years] following GLOBALIA's exit from the shareholding of the participating company.</w:t>
      </w:r>
    </w:p>
    <w:p>
      <w:r>
        <w:t>(10) Paragraph 3 of Article 10 of Law 15/2007 establishes that “certain accessory restrictions on competition, directly linked to the operation and necessary for its realization, may be understood to be included.”</w:t>
      </w:r>
    </w:p>
    <w:p>
      <w:r>
        <w:t>(11) Taking into account national and community precedents, as well as the Commission's Communication on restrictions directly linked to the realization of a concentration and necessary for that purpose (2005/C 56/03), this Investigation Directorate considers that in the present case the duration of the non-compete agreement and the distribution agreement goes beyond what is reasonably required by the notified concentration operation, and therefore, these restrictions are not considered an integral part of the operation insofar as they exceed the lifespan of the participating company.</w:t>
      </w:r>
    </w:p>
    <w:p>
      <w:r>
        <w:t>IV. PARTICIPATING COMPANIES</w:t>
      </w:r>
    </w:p>
    <w:p>
      <w:r>
        <w:t>(12) GLOBALIA is controlled by JJH and its main activities are passenger air transport (AIR EUROPA), aircraft maintenance, wholesale travel agencies (TRAVELPLÁN) and retail (VIAJES HALCÓN, VIAJES ECUADOR), as well as hotel activity (HOTELES OASIS).</w:t>
      </w:r>
    </w:p>
    <w:p>
      <w:r>
        <w:t>(13) IBERICAR is jointly controlled by SALVADOR CAETANO AUTO, SGPS, S.A. and the MAPFRE Group. It is a Spanish company whose activity focuses on the acquisition and holding of shares in companies whose purposes are related to activities in the automotive sector.</w:t>
      </w:r>
    </w:p>
    <w:p>
      <w:r>
        <w:t>(14) SALVADOR CAETANO is a Portuguese company belonging to the group of the same name that is primarily active in the sale and marketing of light motor vehicles.</w:t>
      </w:r>
    </w:p>
    <w:p>
      <w:r>
        <w:rPr>
          <w:b/>
        </w:rPr>
        <w:t>[Pages 4–4]</w:t>
      </w:r>
    </w:p>
    <w:p>
      <w:r>
        <w:t xml:space="preserve">INVESTIGATION DIRECTORATE  </w:t>
        <w:br/>
        <w:t>retail distribution of multi-brand automobiles for the Iberian market. Additionally, it is present in the car rental sector, through three subsidiaries: GUERIN, LDA and CAETANO RENTING, S.A, Portuguese companies that operate exclusively in Portugal and ESTRELLA SERVIRENT, S.A, which conducts its activities in Spain.</w:t>
      </w:r>
    </w:p>
    <w:p>
      <w:r>
        <w:t>(15) For its part, the MAPFRE Group is fundamentally active in the insurance sector, including automobile insurance. According to the notifying parties, MAPFRE does not control any company dedicated to short-term vehicle rental activities, although it has a subsidiary, MAPFRE RENTING, whose corporate purpose is long-term vehicle rental (renting).</w:t>
      </w:r>
    </w:p>
    <w:p>
      <w:r>
        <w:t>(16) GLOBALIA AUTOMÓVILES is a Spanish company dedicated to the activity of rent-a-car or rental of vehicles without a driver, for short periods of time (maximum 3 months), an activity that it mainly develops in Spain under the brand “PEPECAR”.</w:t>
      </w:r>
    </w:p>
    <w:p>
      <w:r>
        <w:t xml:space="preserve">V. ASSESSMENT  </w:t>
        <w:br/>
        <w:t>(17) This Investigation Directorate considers that the present concentration does not pose a threat to effective competition in the markets and, in particular, in the market for short-term vehicle rental without a driver, as the participation of the parties is of little significance.</w:t>
      </w:r>
    </w:p>
    <w:p>
      <w: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