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https://www.cnmc.es/expedientes/c014209</w:t>
      </w:r>
    </w:p>
    <w:p>
      <w:r>
        <w:t>Pages translated : 8</w:t>
      </w:r>
    </w:p>
    <w:p/>
    <w:p>
      <w:r>
        <w:rPr>
          <w:b/>
        </w:rPr>
        <w:t>[Pages 1–3]</w:t>
      </w:r>
    </w:p>
    <w:p>
      <w:r>
        <w:t xml:space="preserve">NATIONAL COMMISSION  </w:t>
        <w:br/>
        <w:t xml:space="preserve">FOR COMPETITION  </w:t>
        <w:br/>
        <w:t xml:space="preserve">RESOLUTION (File C-0142/09, MEDTRONIC/COREVAL)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April 1, 2009.  </w:t>
        <w:br/>
        <w:t xml:space="preserve">Having reviewed the file processed in accordance with Law 15/2007, of July 3, on the Defense of Competition, regarding the economic concentration consisting of the acquisition by MEDTRONIC of exclusive control over COREVALVE through the purchase of 100% of its share capital (File C/0142/09) and being in agreement with the report and proposal submitted by the Research Directorate, the Council of the National Commission for Competition has resolved, in application of Article 57.2.a) of the aforementioned Law, to authorize the said concentration operation in the first phase.  </w:t>
        <w:br/>
        <w:t>This Resolution shall be communicated to the Research Directorate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RESEARCH DIRECTORATE  </w:t>
        <w:br/>
        <w:t xml:space="preserve">REPORT AND PROPOSED RESOLUTION  </w:t>
        <w:br/>
        <w:t xml:space="preserve">FILE C-0142/09 MEDTRONIC/COREVALVE  </w:t>
        <w:br/>
        <w:t xml:space="preserve">1. BACKGROUND  </w:t>
        <w:br/>
        <w:t xml:space="preserve">(1) On March 12, 2009, this Research Directorate received notification of the acquisition by MEDTRONIC of exclusive control over COREVALVE through the purchase of 100% of its share capital.  </w:t>
        <w:br/>
        <w:t xml:space="preserve">(2) This notification was made by MEDTRONIC in accordance with Article 9 of Law 15/2007, of July 3, on the Defense of Competition, as it exceeds the threshold established in Article 8.1a). This operation is subject to the provisions of Royal Decree 261/2008 of February 22, which approves the Competition Defense Regulation.  </w:t>
        <w:br/>
        <w:t xml:space="preserve">(3)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w:t>
        <w:br/>
        <w:t xml:space="preserve">(4) Furthermore, Article 38.2 of Law 15/2007 adds: "The expiration of the maximum period established in Article 36.2.a) of this Law for the resolution in the first phase of control of concentrations shall determine the approval of the corresponding request by administrative silence, except in the cases provided for in Articles 9.5, 55.5, and 57.2.d) of this Law."  </w:t>
        <w:br/>
        <w:t xml:space="preserve">(5) According to the above, the deadline to agree to initiate the second phase of the procedure is April 13, 2009, inclusive. After this date, the notified operation will be considered tacitly authorized.  </w:t>
        <w:br/>
        <w:t xml:space="preserve">2. NATURE OF THE OPERATION  </w:t>
        <w:br/>
        <w:t xml:space="preserve">(6) The concentration operation consists of the acquisition by MEDTRONIC INC. (hereinafter "MEDTRONIC") of exclusive control over COREVALVE INC. (hereinafter "COREVALVE") through the purchase of 100% of its share capital.  </w:t>
        <w:br/>
        <w:t xml:space="preserve">(7) The operation is structured through an Agreement and Plan of Merger, signed on February 19, 2009, whereby COREVALVE merges with the vehicle company ARMSTRONG ACQUISITION CORP created for the operation, with MEDTRONIC exclusively controlling this successor company, which will be named MEDTRONIC.COREVALVE.  </w:t>
        <w:br/>
        <w:t>(8) The execution of the operation is conditioned upon its authorization by the competition authorities of the USA, Germany, Portugal, Greece, and Spain.</w:t>
      </w:r>
    </w:p>
    <w:p>
      <w:r>
        <w:t xml:space="preserve">RESEARCH DIRECTORATE  </w:t>
        <w:br/>
        <w:t xml:space="preserve">3. APPLICABILITY OF LAW 15/2007 ON THE DEFENSE OF COMPETITION  </w:t>
        <w:br/>
        <w:t xml:space="preserve">(9) According to the notifying party, the operation does not fall within the scope of Council Regulation (EC) No 139/2004 of January 20, on the control of concentrations between undertakings.  </w:t>
        <w:br/>
        <w:t xml:space="preserve">(10) The notified operation, however, meets the requirements set forth by Law 15/2007 for its notification, as it exceeds the threshold established in Article 8.1a) thereof.  </w:t>
        <w:br/>
        <w:t xml:space="preserve">4. PARTICIPATING COMPANIES  </w:t>
        <w:br/>
        <w:t xml:space="preserve">4.1 MEDTRONIC INC (“MEDTRONIC”)  </w:t>
        <w:br/>
        <w:t xml:space="preserve">(11) MEDTRONIC is a company registered in the USA, active worldwide in the medical technology sector, offering a range of products, therapies, and services that address a wide variety of medical conditions in different areas. MEDTRONIC is listed on the New York Stock Exchange and operates primarily in 6 business areas: (i) devices for spinal and biological surgery, (ii) devices for cardiac rhythm control, (iii) devices for neurological surgery, (iv) otorhinolaryngology, (v) diabetes, and (vi) devices for cardiovascular surgery.  </w:t>
        <w:br/>
        <w:t xml:space="preserve">(12) The business area affected by the operation is that of devices for cardiovascular surgery, in which MEDTRONIC manufactures and markets a wide range of products for the diagnosis and treatment of aortic, coronary, and structural heart pathologies. In Spain, it operates through MEDTRONIC IBERIA S.A.  </w:t>
        <w:br/>
        <w:t xml:space="preserve">(13) The billing of MEDTRONIC in the last financial year, in accordance with Art. 5 of R.D. 261/2008 is, according to the notifier, as follows:  </w:t>
        <w:br/>
        <w:t xml:space="preserve">MEDTRONIC TURNOVER  </w:t>
        <w:br/>
        <w:t xml:space="preserve">(millions of euros)  </w:t>
        <w:br/>
        <w:t xml:space="preserve">WORLDWIDE EEA SPAIN  </w:t>
        <w:br/>
        <w:t xml:space="preserve">[&gt;2500]1 [&gt;250] [&gt;60]  </w:t>
        <w:br/>
        <w:t xml:space="preserve">Source: Notification  </w:t>
        <w:br/>
        <w:t xml:space="preserve">4.2 COREVALVE INC (“COREVALVE”)  </w:t>
        <w:br/>
        <w:t xml:space="preserve">(14) COREVALVE is a company registered in the USA dedicated to the development and sale of aortic valve replacement systems implanted via catheter. In Europe, it has a single subsidiary located in the Netherlands. In Spain, all its sales are made through its exclusive distributor […]  </w:t>
        <w:br/>
        <w:t>1 The data indicated in brackets are those whose exact content has been declared confidential.</w:t>
      </w:r>
    </w:p>
    <w:p>
      <w:r>
        <w:rPr>
          <w:b/>
        </w:rPr>
        <w:t>[Pages 4–6]</w:t>
      </w:r>
    </w:p>
    <w:p>
      <w:r>
        <w:t xml:space="preserve">RESEARCH DIRECTORATE  </w:t>
        <w:br/>
        <w:t xml:space="preserve">(15) The billing of COREVALVE in the last financial year, in accordance with Art. 5 of R.D. 261/2008 is, according to the notifier, as follows:  </w:t>
        <w:br/>
        <w:t xml:space="preserve">COREVALVE TURNOVER  </w:t>
        <w:br/>
        <w:t xml:space="preserve">(millions of euros)  </w:t>
        <w:br/>
        <w:t xml:space="preserve">WORLDWIDE EEA SPAIN  </w:t>
        <w:br/>
        <w:t xml:space="preserve">[&lt;2500] [&lt;250] [&lt;60]  </w:t>
        <w:br/>
        <w:t>Source: Notification</w:t>
      </w:r>
    </w:p>
    <w:p>
      <w:r>
        <w:t>5. MARKETS AFFECTED BY THE OPERATION</w:t>
      </w:r>
    </w:p>
    <w:p>
      <w:r>
        <w:t xml:space="preserve">5.1. Product market  </w:t>
        <w:br/>
        <w:t xml:space="preserve">(16) The economic sector in which the operation is framed is the manufacturing of medical devices (NACE Code C32.5) and, in particular, heart valve replacement systems.  </w:t>
        <w:br/>
        <w:t xml:space="preserve">(17) The heart has four valves that regulate the proper functioning of the body, maintaining a unidirectional blood flow towards the heart and restricting the exit of blood from the heart to the rest of the body. These four valves are: the aorta, the mitral, the tricuspid, and the pulmonary.  </w:t>
        <w:br/>
        <w:t xml:space="preserve">(18) When the valves do not function properly, and pharmacological treatment is insufficient, the valves must be repaired or replaced. The main methods employed for valve replacement are: (i) the conventional method, which consists of open-heart surgery and requires complete cardiopulmonary bypass, and (ii) catheter implantation.  </w:t>
        <w:br/>
        <w:t xml:space="preserve">(19) The implantation of aortic valves via catheter has been developed and recently approved for use in the treatment of "high-risk patients." Professionals performing catheter valve replacement require specific and intensive training to operate these complex systems.  </w:t>
        <w:br/>
        <w:t xml:space="preserve">(20) Furthermore, heart valve replacement can be segmented based on the material from which the valves are made into: mechanical valve replacement systems and tissue (biological) valve replacement systems. In the aortic valve replacement system implanted via catheter, only tissue valves are used, with specific characteristics that allow them to be compressed for implantation.  </w:t>
        <w:br/>
        <w:t>(21) Taking all of the above into account, for the purposes of this concentration operation, the market for cardiac valve replacement systems will be analyzed, and within this, the narrow market for catheter-implanted aortic valve replacement systems will be examined, leaving the exact definition of the market open.</w:t>
      </w:r>
    </w:p>
    <w:p>
      <w:r>
        <w:t xml:space="preserve">5.2. Geographic market  </w:t>
        <w:br/>
        <w:t xml:space="preserve">(22) Both in the national and community precedents related to the market for disposable medical products, it has been considered that the geographic dimension of the relevant market is the European Economic Area (EEA), taking into account, among other reasons: the absence of regulatory barriers at the national level as a result of the entry into force of the Community directive on medical devices; the general trend of hospitals to organize tenders and bids on a pan-European scale for the purpose of awarding the corresponding supply contracts; the presence of suppliers throughout the EEA and the low transportation costs of the products.  </w:t>
        <w:br/>
        <w:t xml:space="preserve">(23) However, the notifier indicates that, in line with recent decisions of the European Commission, the market for medical devices can also be considered of national dimension, taking into account the different reimbursement systems, bidding procedures, and differences in prices and market shares in the different countries of the EEA.  </w:t>
        <w:br/>
        <w:t>(24) To the extent that it does not affect the analysis, it is not necessary to finalize the geographic definition of the market, so for the purposes of this operation, the effects will be analyzed both in Spain and in the EEA.</w:t>
      </w:r>
    </w:p>
    <w:p>
      <w:r>
        <w:t xml:space="preserve">5.3. Conclusion  </w:t>
        <w:br/>
        <w:t>(25) In light of the above, the market for cardiac valve replacement systems will be examined, and within this, the market for catheter-implanted aortic valve replacement systems will also be analyzed, both in the geographic scope of the EEA and in Spain.</w:t>
      </w:r>
    </w:p>
    <w:p>
      <w:r>
        <w:t xml:space="preserve">6. MARKET ANALYSIS  </w:t>
        <w:br/>
        <w:t xml:space="preserve">6.1. Supply structure  </w:t>
        <w:br/>
        <w:t>(26) According to the notifier, the shares for the affected markets in this operation during the year 2008 were as follows:</w:t>
      </w:r>
    </w:p>
    <w:p>
      <w:r>
        <w:t xml:space="preserve">MARKET SHARES OF CARDIAC VALVE REPLACEMENT SYSTEMS  </w:t>
        <w:br/>
        <w:t xml:space="preserve">OPERATORS EEA SPAIN  </w:t>
        <w:br/>
        <w:t xml:space="preserve">MEDTRONIC [10-20]% [10-20]%  </w:t>
        <w:br/>
        <w:t xml:space="preserve">COREVALVE [0-10]% [0-10]%  </w:t>
        <w:br/>
        <w:t xml:space="preserve">MEDTRONIC+COREVALVE [20-30]% [10-20]%  </w:t>
        <w:br/>
        <w:t xml:space="preserve">SORIN [10-20]% [20-30]%  </w:t>
        <w:br/>
        <w:t xml:space="preserve">EDWARDS [30-40]% [10-20]%  </w:t>
        <w:br/>
        <w:t xml:space="preserve">ST.JUDE [20-30]% [10-20]%  </w:t>
        <w:br/>
        <w:t xml:space="preserve">OTHERS [0-10]% [20-30]%  </w:t>
        <w:br/>
        <w:t xml:space="preserve">TOTAL 100% 100%  </w:t>
        <w:br/>
        <w:t>Source: Notification</w:t>
      </w:r>
    </w:p>
    <w:p>
      <w:r>
        <w:t xml:space="preserve">MARKET SHARES OF CATHETER-IMPLANTED AORTIC VALVE REPLACEMENT SYSTEMS  </w:t>
        <w:br/>
        <w:t xml:space="preserve">OPERATORS EEA SPAIN  </w:t>
        <w:br/>
        <w:t xml:space="preserve">MEDTRONIC [0-10]% [0-10]%  </w:t>
        <w:br/>
        <w:t xml:space="preserve">COREVALVE [60-70]% [60-70]%  </w:t>
        <w:br/>
        <w:t xml:space="preserve">MEDTRONIC+COREVALVE [60-70]% [60-70]%  </w:t>
        <w:br/>
        <w:t xml:space="preserve">EDWARDS [30-40]% [40-50]%  </w:t>
        <w:br/>
        <w:t xml:space="preserve">TOTAL 100% 100%  </w:t>
        <w:br/>
        <w:t>Source: Notification</w:t>
      </w:r>
    </w:p>
    <w:p>
      <w:r>
        <w:t xml:space="preserve">(27) The main operators in the analyzed markets are multinational companies with sufficient resources to invest in the research and development of new technologies.  </w:t>
        <w:br/>
        <w:t>(28) As can be seen from the second table, in both the Spanish and EEA markets for catheter-implanted aortic valve replacement systems, there are only two operators: COREVALVE, the main operator, and its competitor EDWARDS, which saw its market share in the national market decrease from [90-100]% to [40-50]% in the period 2007-2008.</w:t>
      </w:r>
    </w:p>
    <w:p>
      <w:r>
        <w:rPr>
          <w:b/>
        </w:rPr>
        <w:t>[Pages 7–8]</w:t>
      </w:r>
    </w:p>
    <w:p>
      <w:r>
        <w:t xml:space="preserve">RESEARCH DIRECTORATE  </w:t>
        <w:br/>
        <w:t>(29) However, the notifying party points out that there are currently other companies developing catheter-implanted aortic valve replacement systems that will introduce their products in the coming years.</w:t>
      </w:r>
    </w:p>
    <w:p>
      <w:r>
        <w:t xml:space="preserve">6.2. Demand structure, distribution, and prices.  </w:t>
        <w:br/>
        <w:t xml:space="preserve">(30) The demand for medical devices in Spain primarily comes from hospitals, mainly public hospitals (approximately [80-90]%) and to a lesser extent from the private sector ([10-20]%), which have significant bargaining power.  </w:t>
        <w:br/>
        <w:t xml:space="preserve">(31) None of the companies participating in the concentration operation manufactures its replacement systems in Spain. MEDTRONIC distributes its products through affiliated companies. In Spain, it operates through MEDTRONIC IBERIA S.A. COREVALVE, for its part, sells all its valves in Spain through an exclusive distribution agreement signed with the company […], located in […].  </w:t>
        <w:br/>
        <w:t>(32) The prices of the products are set similarly to the prices of medical products of comparable complexity, taking into account R&amp;D costs, clinical research, intellectual property rights, marketing and distribution costs, as well as the training efforts that these products require.</w:t>
      </w:r>
    </w:p>
    <w:p>
      <w:r>
        <w:t xml:space="preserve">6.3. Barriers to entry  </w:t>
        <w:br/>
        <w:t xml:space="preserve">(33) According to the notifying party, there are no insurmountable barriers to entry in the analyzed markets, given that legal barriers are not very relevant, raw materials are accessible to all operators, independent distributors exist, and transportation costs are negligible.  </w:t>
        <w:br/>
        <w:t>(34) The main barrier to entry in the market for heart valve replacement systems, and in particular, the market for catheter-implanted aortic valve replacement systems, arises from the need to make R&amp;D investments to develop new products. However, the presence of international suppliers and small operators operating in the relevant markets, both internationally and nationally, guarantees that this does not constitute a significant obstacle, according to the notifying party.</w:t>
      </w:r>
    </w:p>
    <w:p>
      <w:r>
        <w:t xml:space="preserve">7. ASSESSMENT OF THE OPERATION  </w:t>
        <w:br/>
        <w:t xml:space="preserve">(35) The operation will entail the acquisition by MEDTRONIC of exclusive control over COREVALVE through the purchase of 100% of its share capital.  </w:t>
        <w:br/>
        <w:t xml:space="preserve">(36) The acquisition takes place in the market for heart valve replacement systems, particularly in the narrow market for catheter-implanted aortic valve replacement systems, in which only the acquired company is present.  </w:t>
        <w:br/>
        <w:t xml:space="preserve">(37) In the broad market for heart valve replacement systems, the combined share is [20-30]% (adding [0-10]%) in the EEA and [10-20]% (adding [0-10]%) at the national level. In the narrow market for catheter-implanted aortic valve replacement systems, the acquirer takes over COREVALVE's share of [60-70]% in the EEA and [60-70]% in Spain, without any change in the supply structure.  </w:t>
        <w:br/>
        <w:t xml:space="preserve">(38) The demand for medical devices consists of public and private hospitals, which have significant bargaining power.  </w:t>
        <w:br/>
        <w:t xml:space="preserve">(39) The market for heart valve replacement systems does not face significant limitations on the entry of new operators, except for the necessary investments in R&amp;D and technology. There are no significant legal barriers to entry, nor limits on the availability of raw materials, with other companies developing these systems that will introduce their products in the coming years, according to the notifying party.  </w:t>
        <w:br/>
        <w:t xml:space="preserve">(40) In this regard, it should be noted that the turnover of the acquired company in Spain is [&lt;60] million euros and it is a market where shares are very volatile as they depend on innovations. Indeed, during the last financial year, only two companies were active in the market for catheter-implanted aortic valve replacement systems: the acquired company, with a share of [60-70]%, and its competitor Edwards, which went from controlling the entire market to reducing its share to [40-50]% in the period 2007-2008.  </w:t>
        <w:br/>
        <w:t>(41) Taking all of the above into account, it is not expected that the operation will pose a threat to competition in the relevant market, and therefore it is likely to be approved in the first phase without commitments.</w:t>
      </w:r>
    </w:p>
    <w:p>
      <w:r>
        <w:t xml:space="preserve">8. PROPOSAL  </w:t>
        <w:br/>
        <w:t>(42) In light of all the above and pursuant to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