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https://www.cnmc.es/expedientes/c014309</w:t>
      </w:r>
    </w:p>
    <w:p>
      <w:r>
        <w:t>Pages translated : 1</w:t>
      </w:r>
    </w:p>
    <w:p/>
    <w:p>
      <w:r>
        <w:rPr>
          <w:b/>
        </w:rPr>
        <w:t>[Pages 1–1]</w:t>
      </w:r>
    </w:p>
    <w:p>
      <w:r>
        <w:t>NATIONAL COMPETITION COMMISSION</w:t>
        <w:br/>
        <w:t>RESOLUTION (Case C-0143/09, COPO/COPO FEHRER)</w:t>
        <w:br/>
        <w:t>COUNCIL</w:t>
        <w:br/>
        <w:t>Mr. Luis Berenguer Fuster, President</w:t>
        <w:br/>
        <w:t>Mr. Fernando Torremocha García-Sáenz, Vice President</w:t>
        <w:br/>
        <w:t>Mr. Emilio Conde Fernández-Oliva, Council Member</w:t>
        <w:br/>
        <w:t>Mr. Miguel Cuerdo Mir, Council Member</w:t>
        <w:br/>
        <w:t>Ms. Pilar Sánchez Núñez, Council Member</w:t>
        <w:br/>
        <w:t>Mr. Julio Costas Comesaña, Council Member</w:t>
        <w:br/>
        <w:t>Ms. Mª Jesús González López, Council Member</w:t>
        <w:br/>
        <w:t>Ms. Inmaculada Gutiérrez Carrizo, Council Member</w:t>
        <w:br/>
        <w:t>In Madrid, on April 1, 2009.</w:t>
        <w:br/>
        <w:t>Having reviewed the case processed in accordance with Law 15/2007, of July 3, on the Defense of Competition, concerning the economic concentration consisting of the acquisition by GRUPO COPO DE INVERSIONES S.A. of exclusive control over COPO FEHRER S.A., COPO FEHRER BARCELONA S.L., and COPO FEHRER INVERSIONES S.L., through a purchase agreement of 30% of the share capital of each of these companies, in which it was previously the owner of 70% of the share capital and had joint control along with the seller, F.S. FEHRER AUTOMOTIVE GMBH, (Case C/0143/09)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