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https://www.cnmc.es/expedientes/c014409</w:t>
      </w:r>
    </w:p>
    <w:p>
      <w:r>
        <w:t>Pages translated : 3</w:t>
      </w:r>
    </w:p>
    <w:p/>
    <w:p>
      <w:r>
        <w:rPr>
          <w:b/>
        </w:rPr>
        <w:t>[Pages 1–3]</w:t>
      </w:r>
    </w:p>
    <w:p>
      <w:r>
        <w:t xml:space="preserve">NATIONAL COMPETITION COMMISSION  </w:t>
        <w:br/>
        <w:t>RESOLUTION (File C-0144/09, WARBURG PINCUS/ENODIS)</w:t>
      </w:r>
    </w:p>
    <w:p>
      <w: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April 15, 2009.</w:t>
      </w:r>
    </w:p>
    <w:p>
      <w:r>
        <w:t>Having reviewed the file processed in accordance with Law 15/2007, of July 3, on the Defense of Competition, regarding the economic concentration consisting of the acquisition of exclusive control of the ice-making machine business of the ENODIS PLC group by the funds of WARBURG PINCUS (File C/0144/09) and agreeing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FILE C/0144/09 WARBURG PINCUS/ENODIS</w:t>
      </w:r>
    </w:p>
    <w:p>
      <w:r>
        <w:t>I. BACKGROUND</w:t>
      </w:r>
    </w:p>
    <w:p>
      <w:r>
        <w:t>(1) On March 31, 2009, the National Competition Commission (CNC) received a notification regarding the acquisition of exclusive control of the ice-making machine business of the ENODIS PLC group (hereinafter ENODIS ICE GROUP) by the funds of WARBURG PINCUS LLC.</w:t>
      </w:r>
    </w:p>
    <w:p>
      <w:r>
        <w:t>(2) The transaction is executed through the purchase by the WARBURG PINCUS funds, […]1, via its subsidiary, Braveheart Acquisition Inc., of all shares of Scotsman Group LLC, CastelMac S.p.A., and Frimont S.p.A., including all their tangible and intangible assets.</w:t>
      </w:r>
    </w:p>
    <w:p>
      <w:r>
        <w:t>(3) The deadline to decide to initiate the second phase of the procedure is April 30, 2009, inclusive. After this date, the notified operation will be considered tacitly authorized.</w:t>
      </w:r>
    </w:p>
    <w:p>
      <w:r>
        <w:t>II. APPLICABILITY OF LAW 15/2007 ON THE DEFENSE OF COMPETITION</w:t>
      </w:r>
    </w:p>
    <w:p>
      <w:r>
        <w:t>(4) The notified operation is an economic concentration in the sense of Article 7.1 b) of Law 15/2007, of July 3, on the Defense of Competition.</w:t>
      </w:r>
    </w:p>
    <w:p>
      <w:r>
        <w:t>(5) The operation is not of community dimension, as the sales volume of the ENODIS group does not reach the threshold of 100 million euros necessary for the operation to fall within the scope of Article 1 of Regulation (EC) No. 139/2004.</w:t>
      </w:r>
    </w:p>
    <w:p>
      <w:r>
        <w:t>(6) The notified operation meets the requirements set forth by Law 15/2007 as it exceeds the threshold established in Article 8.1.a) of the same and complies with the requirements set forth in Article 56.1 a) of Law 15/2007.</w:t>
      </w:r>
    </w:p>
    <w:p>
      <w:r>
        <w:t>III. PARTICIPATING COMPANIES</w:t>
      </w:r>
    </w:p>
    <w:p>
      <w:r>
        <w:t xml:space="preserve">(7) WARBURG PINCUS LLC is a North American private investment fund that does not directly or indirectly control any company operating in any relevant market or in any upstream or downstream market of those of ENODIS ICE GROUP.  </w:t>
        <w:br/>
        <w:t>1 The data indicated in brackets are those whose exact content has been declared confidential.</w:t>
      </w:r>
    </w:p>
    <w:p>
      <w:r>
        <w:t>DIRECTORATE OF INVESTIGATION</w:t>
      </w:r>
    </w:p>
    <w:p>
      <w:r>
        <w:t xml:space="preserve">(8) ENODIS ICE GROUP is the global unit for manufacturing ice-making machines, accessories, and commercial refrigeration products of ENODIS PLC.  </w:t>
        <w:br/>
        <w:t>2</w:t>
      </w:r>
    </w:p>
    <w:p>
      <w:r>
        <w:t>(9) The companies that constitute ENODIS ICE GROUP are: SCOTSMAN GROUP LLC, CASTELMAC S.P.A., and FRIMONT S.P.A.</w:t>
      </w:r>
    </w:p>
    <w:p>
      <w:r>
        <w:t>IV. ASSESSMENT</w:t>
      </w:r>
    </w:p>
    <w:p>
      <w:r>
        <w:t>(10) This Directorate of Investigation considers that the present concentration does not pose a threat to effective competition in the markets since the acquiring group is not present in any related market, either horizontally or vertically, with those of the acquired group, such that the structure of the supply in any of them is not modified.</w:t>
      </w:r>
    </w:p>
    <w:p>
      <w:r>
        <w:t>V. PROPOSAL</w:t>
      </w:r>
    </w:p>
    <w:p>
      <w:r>
        <w:t xml:space="preserve">In light of all the above and by virtue of Article 57.1 of Law 15/2007, of July 3, on the Defense of Competition, it is proposed to authorize the concentration, pursuant to Article 57.2.a) of Law 15/2007, of July 3, on the Defense of Competition.  </w:t>
        <w:br/>
        <w:t xml:space="preserve">2 On September 19, 2008, the European Commission authorized the acquisition of ENODIS PLC by MANITOWOC COMPANY, INC (COMP/M.5180-Manitowoc/Enodis). The commitment for its acceptance was the divestment of the ice-making machine unit of ENODIS worldwide.  </w:t>
        <w:br/>
        <w: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