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https://www.cnmc.es/expedientes/c014809</w:t>
      </w:r>
    </w:p>
    <w:p>
      <w:r>
        <w:t>Pages translated : 3</w:t>
      </w:r>
    </w:p>
    <w:p/>
    <w:p>
      <w:r>
        <w:rPr>
          <w:b/>
        </w:rPr>
        <w:t>[Pages 1–3]</w:t>
      </w:r>
    </w:p>
    <w:p>
      <w:r>
        <w:t xml:space="preserve">NATIONAL COMPETITION  </w:t>
        <w:br/>
        <w:t xml:space="preserve">COMMISSION  </w:t>
        <w:br/>
        <w:t xml:space="preserve">RESOLUTION (File C-0148/09, EL ÁRBOL/GALERIAS PRIMERO)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May 6, 2009.  </w:t>
        <w:br/>
        <w:t xml:space="preserve">Having reviewed the file processed in accordance with Law 15/2007, of July 3, on the Defense of Competition, regarding the economic concentration consisting of the acquisition of exclusive control of GALERÍAS PRIMERO S.A., by GRUPO EL ÁRBOL DISTRIBUCIÓN Y SUPERMERCADOS S.A., through the acquisition of its entire share capital (File C/0148/09) and being in agreement with the report and proposal submitted by the Research Directorate, the Council of the National Competition Commission has resolved, in application of Article 57.2.a) of the aforementioned Law, to authorize the said concentration operation in the first phase.  </w:t>
        <w:br/>
        <w:t>This Resolution shall be communicated to the Research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RESEARCH DIRECTORATE  </w:t>
        <w:br/>
        <w:t xml:space="preserve">REPORT AND PROPOSAL FOR RESOLUTION  </w:t>
        <w:br/>
        <w:t xml:space="preserve">FILE C/0148/09 EL ÁRBOL/GALERIAS PRIMERO  </w:t>
        <w:br/>
        <w:t xml:space="preserve">I. BACKGROUND  </w:t>
        <w:br/>
        <w:t xml:space="preserve">(1) On April 23, 2009, the National Competition Commission (CNC) received a notification regarding the acquisition of exclusive control of GALERIAS PRIMERO, S.A., by GRUPO EL ÁRBOL DISTRIBUCIÓN Y SUPERMERCADOS, S.A., through the acquisition of its entire share capital.  </w:t>
        <w:br/>
        <w:t xml:space="preserve">(2) The deadline to agree to initiate the second phase of the procedure is May 23, 2009, inclusive. After this date, the notified operation will be considered tacitly authorized.  </w:t>
        <w:br/>
        <w:t xml:space="preserve">II. APPLICABILITY OF LAW 15/2007 ON THE DEFENSE OF COMPETITION  </w:t>
        <w:br/>
        <w:t xml:space="preserve">(3) The notified operation is an economic concentration in the sense of Article 7.1 b of Law 15/2007, of July 3, on the Defense of Competition.  </w:t>
        <w:br/>
        <w:t xml:space="preserve">(4) The operation is not of community dimension, as it does not reach the thresholds established in paragraphs 2 and 3 of Article 1 of Council Regulation (EC) No. 139/2004 of January 20, 2004, on the control of concentrations between undertakings.  </w:t>
        <w:br/>
        <w:t xml:space="preserve">(5) The notified operation meets the requirements set forth by Law 15/2007 as it exceeds the thresholds established in Article 8.1.a) and b) of the same and complies with the requirements set forth in Article 56.1 a) of Law 15/2007.  </w:t>
        <w:br/>
        <w:t xml:space="preserve">III. PARTICIPATING COMPANIES  </w:t>
        <w:br/>
        <w:t xml:space="preserve">(6) GRUPO EL ÁRBOL DISTRIBUCIÓN Y SUPERMERCADOS, S.A. is a company jointly controlled by MADRIGAL PARTICIPACIONES, S.A., CASTELLANA DE CAPITAL INVERSIÓN, S.A. and EMPRESARIOS INTEGRADOS S.A. It is mainly active in the sector of retail distribution of daily consumer goods in self-service mode in Spain.  </w:t>
        <w:br/>
        <w:t>(7) GALERIAS PRIMERO, S.A. is a company controlled by CAJA DE AHORROS DE LA INMACULADA CONCEPCIÓN (CAI) and is active in the sector of retail distribution of daily consumer goods in self-service mode in Spain, operating 81 establishments, mainly located in Aragón.</w:t>
      </w:r>
    </w:p>
    <w:p>
      <w:r>
        <w:t xml:space="preserve">RESEARCH DIRECTORATE  </w:t>
        <w:br/>
        <w:t xml:space="preserve">IV. ASSESSMENT  </w:t>
        <w:br/>
        <w:t xml:space="preserve">(8) This Research Directorate considers that the present concentration does not pose a threat to effective competition in the market for retail distribution of daily consumer goods in self-service mode, as there is no geographical overlap between the activities of the parties to the operation.  </w:t>
        <w:br/>
        <w:t xml:space="preserve">V.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