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https://www.cnmc.es/expedientes/c015209</w:t>
      </w:r>
    </w:p>
    <w:p>
      <w:r>
        <w:t>Pages translated : 3</w:t>
      </w:r>
    </w:p>
    <w:p/>
    <w:p>
      <w:r>
        <w:rPr>
          <w:b/>
        </w:rPr>
        <w:t>[Pages 1–3]</w:t>
      </w:r>
    </w:p>
    <w:p>
      <w:r>
        <w:t>NATIONAL COMPETITION COMMISSION</w:t>
        <w:br/>
        <w:t>RESOLUTION (File C-0152/09, REALE/CAI/CAI SEGUROS)</w:t>
      </w:r>
    </w:p>
    <w:p>
      <w:r>
        <w:t>COUNCIL</w:t>
        <w:br/>
        <w:t>Mr. Luis Berenguer Fuster,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r>
    </w:p>
    <w:p>
      <w:r>
        <w:t>In Madrid, on May 20, 2009.</w:t>
      </w:r>
    </w:p>
    <w:p>
      <w:r>
        <w:t>Having reviewed the file processed in accordance with Law 15/2007, of July 3, on the Defense of Competition, regarding the economic concentration consisting of the acquisition by the companies REALE SEGUROS GENERALES and CAJA DE AHORROS DE LA INMACULADA DE ARAGÓN (CAI) of joint control over CAI SEGUROS GENERALES Y REASEGUROS S.A. (File C/0152/09), through a share purchase agreement signed on April 6, 2009, and being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C/0152/09 REALE / CAI / CAI SEGUROS</w:t>
      </w:r>
    </w:p>
    <w:p>
      <w:r>
        <w:t>I. BACKGROUND</w:t>
      </w:r>
    </w:p>
    <w:p>
      <w:r>
        <w:t>(1) On May 8, 2009, the National Competition Commission (CNC) received a notification regarding the acquisition by the companies REALE SEGUROS GENERALES ("REALE") and CAJA DE AHORROS DE LA INMACULADA DE ARAGON ("CAI") of joint control over CAI SEGUROS GENERALES Y REASEGUROS, S.A. ("CAI SEGUROS"), through a share purchase agreement signed on April 6, 2009.</w:t>
      </w:r>
    </w:p>
    <w:p>
      <w:r>
        <w:t>(2) The deadline to decide to initiate the second phase of the procedure is June 8, 2009,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Law 15/2007 as it exceeds the threshold established in Article 8.1. b) of the same and complies with the requirements set forth in Article 56.1 b) of Law 15/2007.</w:t>
      </w:r>
    </w:p>
    <w:p>
      <w:r>
        <w:t>III. PARTICIPATING COMPANIES</w:t>
      </w:r>
    </w:p>
    <w:p>
      <w:r>
        <w:t>(6) CAI is a company with the legal status of a savings bank whose main governing body is its General Assembly and is not controlled by any natural or legal person. Its main activities are retail banking; it also engages in insurance activities (life and non-life), investment, and real estate.</w:t>
      </w:r>
    </w:p>
    <w:p>
      <w:r>
        <w:t>(7) REALE is a Spanish company subsidiary of the Italian group REALE MUTUA, whose parent company is the insurance entity Societá Reale Mutua di Assicurazioni, which is not controlled by any natural or legal person. REALE is active in the provision of non-life insurance.</w:t>
      </w:r>
    </w:p>
    <w:p>
      <w:r>
        <w:t>(8) CAI SEGUROS is a company established in 2007 whose sole shareholder is CAI, dedicated to the activity of non-life insurance (exclusively home multi-risk). Its activity as a participating company will focus on providing various types of non-life insurance throughout the national territory.</w:t>
      </w:r>
    </w:p>
    <w:p>
      <w:r>
        <w:t>DIRECTORATE OF INVESTIGATION</w:t>
      </w:r>
    </w:p>
    <w:p>
      <w:r>
        <w:t>IV. ASSESSMENT</w:t>
      </w:r>
    </w:p>
    <w:p>
      <w:r>
        <w:t>(9) This Directorate of Investigation considers that the present concentration does not pose a threat to effective competition in the markets, as the participation of the parties in the markets is of little significance.</w:t>
      </w:r>
    </w:p>
    <w:p>
      <w:r>
        <w:t>IV.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