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https://www.cnmc.es/expedientes/c015509</w:t>
      </w:r>
    </w:p>
    <w:p>
      <w:r>
        <w:t>Pages translated : 3</w:t>
      </w:r>
    </w:p>
    <w:p/>
    <w:p>
      <w:r>
        <w:rPr>
          <w:b/>
        </w:rPr>
        <w:t>[Pages 1–3]</w:t>
      </w:r>
    </w:p>
    <w:p>
      <w:r>
        <w:t>NATIONAL COMPETITION COMMISSION</w:t>
        <w:br/>
        <w:t>RESOLUTION (File C-0155/09, BIOVAIL/CAMBRIDGE LABORATORIES)</w:t>
        <w:br/>
        <w:t>COUNCIL</w:t>
        <w:br/>
        <w:t>Mr. Luis Berenguer Fuster, President</w:t>
        <w:br/>
        <w:t>Mr. Fernando Torremocha García-Sáenz, Vice President</w:t>
        <w:br/>
        <w:t>Mr. Emilio Conde Fernández-Oliva, Councilor</w:t>
        <w:br/>
        <w:t>Mr. Miguel Cuerdo Mir, Councilor</w:t>
        <w:br/>
        <w:t>Ms. Pilar Sánchez Núñez, Councilor</w:t>
        <w:br/>
        <w:t>Mr. Julio Costas Comesaña, Councilor</w:t>
        <w:br/>
        <w:t>Ms. Mª Jesús González López, Councilor</w:t>
        <w:br/>
        <w:t>Ms. Inmaculada Gutiérrez Carrizo, Councilor</w:t>
        <w:br/>
        <w:t>In Madrid, on June 16, 2009.</w:t>
        <w:br/>
        <w:t>Having reviewed the file processed in accordance with Law 15/2007, of July 3, on the Defense of Competition, regarding the economic concentration consisting of the acquisition by BIOVAIL LABORATORIES INTERNATIONAL S.R.L. of exclusive control over certain assets of CAMBRIDGE LABORATORIES LIMITED, through a purchase agreement (File C/0155/09), and being in agreement with the report and proposal submitted by the Directorate of Investigation, the Council of the National Competition Commission has resolved, in application of Article 57.2.a) of the aforementioned Law, to authorize the said concentration operation in the first phase.</w:t>
        <w:br/>
        <w:t>This Resolution shall be communicated to the Directorate of Investigation of the National Competition Commission and notified to the interested parties, informing them that it concludes the administrative process and that a contentious-administrative appeal may be filed against it before the National Court, within two months from its notification.</w:t>
      </w:r>
    </w:p>
    <w:p>
      <w:r>
        <w:t>DIRECTORATE OF INVESTIGATION</w:t>
        <w:br/>
        <w:t>REPORT AND PROPOSAL FOR RESOLUTION</w:t>
        <w:br/>
        <w:t>FILE C/0155/09 BIOVAIL/CAMBRIDGE LABORATORIES</w:t>
        <w:br/>
        <w:t>I. BACKGROUND</w:t>
        <w:br/>
        <w:t>(1) On May 28, 2009, a notification was received by the National Competition Commission (CNC) regarding the acquisition by BIOVAIL LABORATORIES INTERNATIONAL S.R.L. (BIOVAIL) of exclusive control over certain assets of CAMBRIDGE LABORATORIES LIMITED (CAMBRIDGE), through a purchase agreement.</w:t>
        <w:br/>
        <w:t>(2) The deadline to decide to initiate the second phase of the procedure is June 29, 2009, inclusive. After this date, the notified operation will be considered tacitly authorized.</w:t>
        <w:br/>
        <w:t>II. APPLICABILITY OF LAW 15/2007 ON THE DEFENSE OF COMPETITION</w:t>
        <w:br/>
        <w:t>(3) The notified operation is an economic concentration in the sense of Article 7.1 b of the LDC.</w:t>
        <w:br/>
        <w:t>(4) The operation is not of community dimension, as it does not reach the thresholds established in paragraphs 2 and 3 of Article 1 of Council Regulation (EC) No. 139/2004 of January 20, 2004, on the control of concentrations between companies.</w:t>
        <w:br/>
        <w:t>(5) The notified operation meets the requirements set forth by the LDC as it exceeds the threshold established in Article 8.1.a) of the same and complies with the requirements set forth in Article 56.1 a) of the aforementioned regulation.</w:t>
        <w:br/>
        <w:t>III. PARTICIPATING COMPANIES</w:t>
        <w:br/>
        <w:t>(6) BIOVAIL LABORATORIES INTERNATIONAL S.R.L. is controlled by BIOVAIL CORPORATION (Canada) and its main activity is the formulation, production, and marketing of pharmaceuticals at all stages (including clinical trials and registration).</w:t>
        <w:br/>
        <w:t>(7) CAMBRIDGE LABORATORIES LIMITED is an independent company and its main activity is the production of specialized pharmaceuticals primarily for the treatment of oncological diseases and central nervous system disorders. The transmitted assets include all rights and assets owned by CAMBRIDGE related to the active ingredient tetrabenazine worldwide.</w:t>
        <w:br/>
        <w:t>IV. ASSESSMENT</w:t>
        <w:br/>
        <w:t>(8) This Directorate of Investigation considers that the present concentration does not pose a threat to effective competition in the markets, as there is no horizontal or vertical overlap between the parties to the operation.</w:t>
      </w:r>
    </w:p>
    <w:p>
      <w:r>
        <w:t>DIRECTORATE OF INVESTIGATION</w:t>
        <w:br/>
        <w:t>V. PROPOSAL</w:t>
        <w:br/>
        <w:t>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