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https://www.cnmc.es/expedientes/c015909</w:t>
      </w:r>
    </w:p>
    <w:p>
      <w:r>
        <w:t>Pages translated : 3</w:t>
      </w:r>
    </w:p>
    <w:p/>
    <w:p>
      <w:r>
        <w:rPr>
          <w:b/>
        </w:rPr>
        <w:t>[Pages 1–3]</w:t>
      </w:r>
    </w:p>
    <w:p>
      <w:r>
        <w:t xml:space="preserve">NATIONAL COMPETITION  </w:t>
        <w:br/>
        <w:t xml:space="preserve">COMMISSION  </w:t>
        <w:br/>
        <w:t>RESOLUTION (File C-0159/09, AELIA-EMS SHIP SUPPLY (Assets)</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July 9, 2009.  </w:t>
        <w:br/>
        <w:t>Having reviewed the file processed in accordance with Law 15/2007, of July 3, on the Defense of Competition, regarding the economic concentration consisting of the acquisition by AELIA RETAIL ESPAÑA S.A., belonging to the LAGARDERE group, of the assets of EMS SHIP SUPPLY SPAIN S.A. (File C/0159/09),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duration, the geographical scope of application, and the content of the non-competition, non-solicitation, and confidentiality commitments of the asset acquisition agreement signed between the parties, which are not considered part of it.</w:t>
      </w:r>
    </w:p>
    <w:p>
      <w:r>
        <w:t xml:space="preserve">Likewise, it is considered that the service provision agreements (CONFIDENTIAL) do not constitute an ancillary restriction, and therefore are subject to the regulations on agreements.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C/0159/09 AELIA-EMS SHIP SUPPLY (Assets)</w:t>
      </w:r>
    </w:p>
    <w:p>
      <w:r>
        <w:t xml:space="preserve">I. BACKGROUND  </w:t>
        <w:br/>
        <w:t xml:space="preserve">(1) On June 25, 2009, the National Competition Commission (CNC) received a notification regarding the acquisition by AELIA RETAIL ESPAÑA, S.A. ("AELIA"), part of the LAGARDERE group, of the assets of EMS SHIP SUPPLY SPAIN, S.A. ("EMS") related to the operation of 14 retail establishments located in the travel terminals of the maritime ports of Barcelona, Valencia, and Palma de Mallorca.  </w:t>
        <w:br/>
        <w:t>(2) The deadline to decide to initiate the second phase of the procedure is July 25, 2009, inclusive. After this date, the notified operation will be considered tacitly authorized.</w:t>
      </w:r>
    </w:p>
    <w:p>
      <w:r>
        <w:t xml:space="preserve">II. APPLICABILITY OF LAW 15/2007 ON THE DEFENSE OF COMPETITION  </w:t>
        <w:br/>
        <w:t xml:space="preserve">(3) The notified operation is an economic concentration in the sense of Article 7.1 b of the LDC.  </w:t>
        <w:br/>
        <w:t xml:space="preserve">(4) The operation is not of community dimension, as it does not reach the thresholds established in paragraphs 2 and 3 of Article 1 of Council Regulation (EC) No. 139/2004 of January 20, 2004, on the control of concentrations between undertakings.  </w:t>
        <w:br/>
        <w:t>(5) The notified operation meets the requirements set forth by the LDC as it exceeds the threshold established in Article 8.1.a) of the same and complies with the requirements set forth in Article 56.1 a) of the aforementioned regulation.</w:t>
      </w:r>
    </w:p>
    <w:p>
      <w:r>
        <w:t xml:space="preserve">III. ANCILLARY RESTRICTIONS  </w:t>
        <w:br/>
        <w:t xml:space="preserve">(6) The asset acquisition agreement signed between the parties includes certain non-competition, non-solicitation, and confidentiality commitments acquired by EMS in relation to the duty-free retail activity within Spanish territory and with a duration [greater than two years] from the date of closing of the operation.  </w:t>
        <w:br/>
        <w:t xml:space="preserve">(7) Additionally, the parties have agreed that EMS will provide AELIA with certain services related to the operation of the stores, […].  </w:t>
        <w:br/>
        <w:t>(8) Paragraph 3 of Article 10 of the LDC states that "certain ancillary restrictions on competition, directly linked to the operation and necessary for its realization, may be understood to be included."</w:t>
      </w:r>
    </w:p>
    <w:p>
      <w:r>
        <w:t xml:space="preserve">DIRECTORATE OF INVESTIGATION  </w:t>
        <w:br/>
        <w:t xml:space="preserve">(9) Taking into account national and community precedents, as well as the Commission's Communication on restrictions directly linked to the realization of a concentration and necessary for that purpose (2005/C 56/03), this Directorate of Investigation considers that both the duration and the geographical scope of application and the content of the non-competition, non-solicitation, and confidentiality commitments go beyond what is reasonably required by the notified concentration operation, and are not considered an integral part of it.  </w:t>
        <w:br/>
        <w:t>(10) Regarding the service provision agreements related to […] the stores, this Directorate of Investigation considers that they are not directly linked to the operation nor necessary for its realization, and therefore do not constitute an ancillary restriction to the notified operation in the sense of Article 10.3 of Law 15/2007 and are subject to the regulations on agreements.</w:t>
      </w:r>
    </w:p>
    <w:p>
      <w:r>
        <w:t xml:space="preserve">IV. PARTICIPATING COMPANIES  </w:t>
        <w:br/>
        <w:t xml:space="preserve">(11) AELIA belongs to the French group LAGARDERE, whose parent company is listed on the Paris Stock Exchange and is fundamentally active in the field of media and the publishing sector. Additionally, LAGARDERE engages in distribution and retail activities of press, cultural products, and goods in travel areas, both in duty-free and under normal tax regime (duty paid). In the field of retailing goods to travelers in Spain, LAGARDERE operates in airports, train and metro stations (through its subsidiary SGEL) and on board airplanes (through AELIA).  </w:t>
        <w:br/>
        <w:t>(12) The assets to be acquired from EMS are linked to the operation of 14 retail establishments located in the travel terminals of the maritime ports of Barcelona, Valencia, and Palma de Mallorca. The establishments predominantly operate in a duty-free regime.</w:t>
      </w:r>
    </w:p>
    <w:p>
      <w:r>
        <w:t xml:space="preserve">V. VALUATION  </w:t>
        <w:br/>
        <w:t>(13) This Directorate of Investigation considers that the present concentration does not pose a threat to effective competition in the markets, as there is no horizontal or vertical overlap between the parties to the operation.</w:t>
      </w:r>
    </w:p>
    <w:p>
      <w:r>
        <w:t xml:space="preserve">VI. PROPOSAL  </w:t>
        <w:b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