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https://www.cnmc.es/expedientes/c016009</w:t>
      </w:r>
    </w:p>
    <w:p>
      <w:r>
        <w:t>Pages translated : 4</w:t>
      </w:r>
    </w:p>
    <w:p/>
    <w:p>
      <w:r>
        <w:rPr>
          <w:b/>
        </w:rPr>
        <w:t>[Pages 1–3]</w:t>
      </w:r>
    </w:p>
    <w:p>
      <w:r>
        <w:t>NATIONAL COMPETITION COMMISSION RESOLUTION (File C-0160/09, COMSA/EMTE/GMN)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July 15, 2009. Having reviewed the file processed in accordance with Law 15/2007, of July 3, on the Defense of Competition, relating to the economic concentration consisting of the merger of the business groups COMSA and EMTE through the integration of their parent companies: TAMISA S.L. and EMTE GRUPO EMPRESARIAL CORPORATIVO S.L. and the acquisition by the controlling partners of both groups of joint control of the integrated group, as well as the acquisition by the resulting entity from the merger of exclusive control of GESTION MEDIOAMBIENTAL DE NEUMATICOS, S.L. (File C/0160/09),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non-compete agreements, which remain subject to the regulations on agreements between companies.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C/0160/09 COMSA / EMTE / GMN I. BACKGROUND (1) On June 26, 2009, a notification regarding the merger of the business groups COMSA and EMTE through the integration of their parent companies: Tamisa S.L. (TAMISA) and EMTE GRUPO EMPRESARIAL CORPORATIVO S.L. (EMTE GEYCO), and the acquisition by the controlling partners of both groups1 of joint control of the integrated group, was received by the National Competition Commission (CNC). Furthermore, as a result of this merger, the resulting entity acquires exclusive control of GESTIÓN MEDIOAMBIENTAL DE NEUMÁTICOS, S.L. (GMN), thanks to the sum of the shares independently held by COMSA and EMTE (42.5% each). (2) The deadline to agree to initiate the second phase of the procedure is July 27, 2009, inclusive. After this date, the notified operation will be considered tacitly authorized. II. ACCESSORY RESTRICTIONS (3) The integration agreement of TAMISA and EMTE GEYCO, dated June 3, 2009, includes a non-compete clause whereby the partners of the COMSA and EMTE groups commit not to engage in any activity carried out by the COMSA EMTE Group, nor to participate as investors, executives, or provide consulting services in any sector of the integrated Group's activity. This commitment will remain in effect while they are partners of the COMSA EMTE Group and for two years following the effective cessation of their status as partners. (4) The Commission's Communication on restrictions directly linked to the execution of a concentration and necessary for that purpose (2005/C 56/03) considers that non-compete clauses between a joint venture and its controlling partners are admissible insofar as they do not exceed the duration of the joint venture itself. Likewise, non-compete agreements of parent companies that do not exercise control over the joint venture are not directly linked to the execution of the concentration and are not necessary for that purpose. (5) In this case, the non-compete clause affects the partners once they have lost their status as partners, so in this regard, the non-compete agreement falls outside the approved concentration operation and must be subject to the regulations on agreements between companies. The same applies to the extent that the non-compete agreement affects the financial partners of EMTE (Caja Madrid and Banco Sabadell Groups)2, given that these partners do not exercise control over the resulting entity, COMSA EMTE. III. APPLICABILITY OF LAW 15/2007 ON THE DEFENSE OF COMPETITION (6) The notified concentration operation arises from the acquisition by […] and […] of joint control of the COMSA group, the EMTE group, and GMN, being an economic concentration according to the scenario contemplated in article 7.1.c) of Law 15/2007, of July 3, on the Defense of Competition. (7) The notified operation is not of community dimension as the combined turnover of the parties does not reach the threshold established in article 1 of Regulation No. 139/2004, on the control of concentrations. (8) The notified operation meets the requirements set forth by Law 15/2007, as it exceeds the threshold established in article 8.1.b) of the same, and meets the requirements set forth in article 56.1.b) of Law 15/2007 for processing by expedited procedure. IV. PARTICIPATING COMPANIES (9) The COMSA Group is present in the construction and services sector. Specifically, the COMSA Group focuses its activity on construction businesses carrying out all types of projects in civil works markets (railway, hydraulic, port, and airport works) and in non-residential construction, as well as in the environmental field (engineering and management in the areas of water, waste, and renewable energies). According to the notifying parties, the COMSA group is controlled by […]. (10) In addition to the companies of the COMSA group, […] also controls other companies, one of which, Intraesa, has as its main activity engineering and drafting studies and projects. (11) The EMTE group focuses its activity in the installation and assembly sector, developing comprehensive engineering services, electromechanical installations, technology, and renewable energies. According to the notifying parties, the EMTE group is controlled by […]. (12) […], in addition to the EMTE Group, controls a company present in the construction sector and two companies in the agri-food sector. 2 The financial partners of EMTE are subject to the non-compete commitments that affect the other partners, except for taking non-controlling stakes in companies operating in the COMSA-EMTE sector for which they are authorized.</w:t>
      </w:r>
    </w:p>
    <w:p>
      <w:r>
        <w:rPr>
          <w:b/>
        </w:rPr>
        <w:t>[Pages 4–4]</w:t>
      </w:r>
    </w:p>
    <w:p>
      <w:r>
        <w:t>DIRECTORATE OF INVESTIGATION</w:t>
      </w:r>
    </w:p>
    <w:p>
      <w:r>
        <w:t>(13) GMN is a company dedicated to the material recovery of recycled rubber.</w:t>
      </w:r>
    </w:p>
    <w:p>
      <w:r>
        <w:t>V. VALUATION</w:t>
      </w:r>
    </w:p>
    <w:p>
      <w:r>
        <w:t>(14) This Directorate of Investigation considers that the present concentration does not pose a threat to effective competition in the markets, due to the limited weight of the participants in the markets in which they operate and the virtually non-existent horizontal or vertical overlap between the parties to the operation, resulting in no significant modification of the structure of the considered markets or the conditions of competition therein.</w:t>
      </w:r>
    </w:p>
    <w:p>
      <w:r>
        <w:t>VI.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