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https://www.cnmc.es/expedientes/c016209</w:t>
      </w:r>
    </w:p>
    <w:p>
      <w:r>
        <w:t>Pages translated : 3</w:t>
      </w:r>
    </w:p>
    <w:p/>
    <w:p>
      <w:r>
        <w:rPr>
          <w:b/>
        </w:rPr>
        <w:t>[Pages 1–3]</w:t>
      </w:r>
    </w:p>
    <w:p>
      <w:r>
        <w:t xml:space="preserve">NATIONAL COMPETITION  </w:t>
        <w:br/>
        <w:t xml:space="preserve">COMMISSION  </w:t>
        <w:br/>
        <w:t>RESOLUTION (File C-0162/09, ASSIP/CINTRA)</w:t>
      </w:r>
    </w:p>
    <w:p>
      <w: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Ms. Inmaculada Gutiérrez Carrizo, Councilor</w:t>
      </w:r>
    </w:p>
    <w:p>
      <w:r>
        <w:t xml:space="preserve">In Madrid, on July 9, 2009.  </w:t>
        <w:br/>
        <w:t xml:space="preserve">Having reviewed the file processed in accordance with Law 15/2007, of July 3, on the Defense of Competition, regarding the economic concentration consisting of the acquisition by the company ASSIP-S.G.P.S., S.A., of exclusive control over CINTRA APARCAMIENTOS S.A., through a share purchase agreement signed on June 26, 2009 (File C/0162/09), and being in agreement with the report and proposal submitted by the Investigation Directorate, the Council of the National Competition Commission has resolved, pursuant to Article 57.2.a) of the aforementioned Law, to authorize the said concentration operation in the first phase.  </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INVESTIGATION DIRECTORATE  </w:t>
        <w:br/>
        <w:t xml:space="preserve">REPORT AND PROPOSAL FOR RESOLUTION  </w:t>
        <w:br/>
        <w:t>FILE C/0162/09 ASSIP / CINTRA</w:t>
      </w:r>
    </w:p>
    <w:p>
      <w:r>
        <w:t xml:space="preserve">I. BACKGROUND  </w:t>
        <w:br/>
        <w:t xml:space="preserve">(1) On July 26, 2009, the National Competition Commission (CNC) received a notification regarding the acquisition by the company ASSIP–S.G.P.S., S.A. (“ASSIP”) of exclusive control over CINTRA APARCAMIENTOS, S.A. (“CINTRA”), through a share purchase agreement signed on June 26, 2009.  </w:t>
        <w:br/>
        <w:t>(2) The deadline to decide to initiate the second phase of the procedure is July 27, 2009, inclusive. After this date, the notified operation will be considered tacitly authorized.</w:t>
      </w:r>
    </w:p>
    <w:p>
      <w:r>
        <w:t xml:space="preserve">II. APPLICABILITY OF LAW 15/2007 ON THE DEFENSE OF COMPETITION  </w:t>
        <w:br/>
        <w:t xml:space="preserve">(3) The notified operation is an economic concentration in the sense of Article 7.1 b) of Law 15/2007, of July 3, on the Defense of Competition.  </w:t>
        <w:br/>
        <w:t xml:space="preserve">(4) The operation is not of community dimension, as it does not reach the thresholds established in paragraphs 2 and 3 of Article 1 of Council Regulation (EC) No. 139/2004 of January 20, 2004, on the control of concentrations between undertakings.  </w:t>
        <w:br/>
        <w:t>(5) The notified operation meets the requirements set forth by Law 15/2007 as it exceeds the threshold established in Article 8.1. a) of the same and complies with the requirements set forth in Article 56.1 a) of Law 15/2007.</w:t>
      </w:r>
    </w:p>
    <w:p>
      <w:r>
        <w:t xml:space="preserve">III. ACCESSORY RESTRICTIONS  </w:t>
        <w:br/>
        <w:t xml:space="preserve">(6) The purchase agreement provides, on the part of CINTRA INFRAESTRUCTURAS and the subsidiaries of its group, non-competition and non-solicitation agreements for a period of [… not exceeding three]1 years, as well as confidentiality for [… not exceeding three] years.  </w:t>
        <w:br/>
        <w:t>(7) Taking into account the provisions of the Commission Communication on accessory restrictions, the content and duration of these agreements are considered acceptable, as long as they are limited to the geographical scope of action of CINTRA prior to the reference operation.</w:t>
      </w:r>
    </w:p>
    <w:p>
      <w:r>
        <w:t xml:space="preserve">IV. PARTICIPATING COMPANIES  </w:t>
        <w:br/>
        <w:t xml:space="preserve">(8) ASSIP is a holding company created as a vehicle for the current operation and controlled by the Portuguese group A. SILVA &amp; SILVA, which is in turn controlled by […]. The acquiring group is active in the sectors of: (i) distribution of DIY, decoration, and gardening products; (ii) real estate; and (iii) operation of vehicle parking through its subsidiary EMPARQUE, which operates in Portugal and Turkey. In Spain, the acquirer is only active in the operation of two DIY and decoration establishments.  </w:t>
        <w:br/>
        <w:t>(9) CINTRA is a subsidiary of the publicly traded Spanish company CINTRA INFRAESTRUCTURAS. The activity of the acquired company focuses on the management and operation of vehicle parking both on and off public roads in Spain, Andorra, and the United Kingdom (Stansted). Currently, it manages the operation of numerous ORA parking facilities and rotation parking in Spain, as well as parking at 11 airports.</w:t>
      </w:r>
    </w:p>
    <w:p>
      <w:r>
        <w:t xml:space="preserve">V. ASSESSMENT  </w:t>
        <w:br/>
        <w:t>(10) This Investigation Directorate considers that the present concentration does not pose a threat to effective competition in the markets, as there is no horizontal or vertical overlap between the parties to the operation since the acquirer is not present in Spain in the markets in which the acquired company operates, nor in any other vertically or horizontally related market.</w:t>
      </w:r>
    </w:p>
    <w:p>
      <w:r>
        <w:t xml:space="preserve">IV. PROPOSAL  </w:t>
        <w:br/>
        <w:t xml:space="preserve">In light of all the above and by virtue of Article 57.1 of Law 15/2007, of July 3, on the Defense of Competition, it is proposed to authorize the concentration, pursuant to Article 57.2.a) of Law 15/2007, of July 3, on the Defense of Competition.  </w:t>
        <w:br/>
        <w:t>1 The information indicated in brackets is that whose exact content has been declared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