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https://www.cnmc.es/expedientes/c016309</w:t>
      </w:r>
    </w:p>
    <w:p>
      <w:r>
        <w:t>Pages translated : 3</w:t>
      </w:r>
    </w:p>
    <w:p/>
    <w:p>
      <w:r>
        <w:rPr>
          <w:b/>
        </w:rPr>
        <w:t>[Pages 1–3]</w:t>
      </w:r>
    </w:p>
    <w:p>
      <w:r>
        <w:t xml:space="preserve">NATIONAL COMPETITION  </w:t>
        <w:br/>
        <w:t xml:space="preserve">COMMISSION  </w:t>
        <w:br/>
        <w:t>RESOLUTION (File C-0163/09, UNIPAPEL/ADIMPO)</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 xml:space="preserve">In Madrid, on July 29, 2009.  </w:t>
        <w:br/>
        <w:t xml:space="preserve">Having reviewed the file processed in accordance with Law 15/2007, of July 3, on the Defense of Competition, concerning the economic concentration consisting of the acquisition by UNIPAPEL S.A. of exclusive control over ADIMPO S.A. and its controlled subsidiaries, through a purchase agreement dated June 30, 2009 (File C/0163/09), and agreeing with the report and proposal submitted by the Directorate of Investigation, the Council of the National Competition Commission has resolved, in application of Article 57.2.a) of the aforementioned Law, to authorize the said concentration operation in the first phase, except regarding the duration of the non-compete, non-solicitation, and confidentiality commitments which, to the extent that they exceed two years, are not considered an integral part of the notified concentration operation.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C/0163/09 UNIPAPEL/ADIMPO</w:t>
      </w:r>
    </w:p>
    <w:p>
      <w:r>
        <w:t xml:space="preserve">I. BACKGROUND  </w:t>
        <w:br/>
        <w:t xml:space="preserve">(1) On July 1, 2009, the National Competition Commission (CNC) received a notification regarding the acquisition by UNIPAPEL, S.A. (UNIPAPEL) of exclusive control over ADIMPO, S.A. and its controlled subsidiaries (ADIMPO), through a purchase agreement dated June 30, 2009.  </w:t>
        <w:br/>
        <w:t>(2) The deadline to decide whether to initiate the second phase of the procedure is August 1, 2009, inclusive. After this date, the notified transaction will be considered tacitly authorized.</w:t>
      </w:r>
    </w:p>
    <w:p>
      <w:r>
        <w:t xml:space="preserve">II. APPLICABILITY OF LAW 15/2007 ON THE DEFENSE OF COMPETITION  </w:t>
        <w:br/>
        <w:t xml:space="preserve">(3) The notified transaction is an economic concentration within the meaning of Article 7.1.b) of Law 15/2007, of July 3, on the Defense of Competition.  </w:t>
        <w:br/>
        <w:t xml:space="preserve">(4) The transaction is not of community dimension, as it does not reach the thresholds established in paragraphs 2 and 3 of Article 1 of Council Regulation (EC) No. 139/2004 of January 20, 2004, on the control of concentrations between undertakings.  </w:t>
        <w:br/>
        <w:t>(5) The notified transaction meets the requirements set forth by Law 15/2007 for its mandatory notification as it exceeds the thresholds established in Articles 8.1.b) and 8.1.a), in the latter only in the narrower definition of the relevant product market. It also meets the requirements set forth in Article 56.1.b) of Law 15/2007 for processing under the simplified procedure. In particular, the market share of the resulting entity, although it exceeds 15% in the relevant product market in Spain, is below 30% and has an addition of less than 2%, thus falling within the provisions of Article 57.1.b) of the Competition Defense Regulation, approved by Royal Decree 261/2008, of February 22.</w:t>
      </w:r>
    </w:p>
    <w:p>
      <w:r>
        <w:t xml:space="preserve">III. ACCESSORY RESTRICTIONS  </w:t>
        <w:br/>
        <w:t xml:space="preserve">(6) The purchase agreement signed between the parties includes a non-solicitation commitment under which, for [&gt;2] years, the selling group agrees to refrain from soliciting employees subject to transfer in the transaction, as well as collaborators, clients, or suppliers.  </w:t>
        <w:br/>
        <w:t>(7) Additionally, the agreement includes a non-compete clause, under which the selling group commits for [&gt;2] years not to engage, directly or indirectly, in wholesale distribution activities of IT products.</w:t>
      </w:r>
    </w:p>
    <w:p>
      <w:r>
        <w:t xml:space="preserve">DIRECTORATE OF INVESTIGATION  </w:t>
        <w:br/>
        <w:t xml:space="preserve">(8) The agreement also includes a confidentiality clause, under which the sellers are obliged not to disclose any information they have about the sold business, excluding information that is generally accessible or known to the public, for a period of [&gt;2] years.  </w:t>
        <w:br/>
        <w:t xml:space="preserve">(9) Paragraph 3 of Article 10 of the LDC states that "certain accessory restrictions on competition, directly linked to the operation and necessary for its execution, may be understood to be included."  </w:t>
        <w:br/>
        <w:t>(10) Taking into account national and community precedents, as well as the Commission's Communication on restrictions directly linked to the execution of a concentration and necessary for that purpose (2005/C 56/03), this Directorate of Investigation considers that the duration of the non-compete, non-solicitation, and confidentiality commitments goes beyond what is reasonably required by the notified concentration operation, and is not considered an integral part of it to the extent that they exceed two years.</w:t>
      </w:r>
    </w:p>
    <w:p>
      <w:r>
        <w:t xml:space="preserve">IV. PARTICIPATING COMPANIES  </w:t>
        <w:br/>
        <w:t xml:space="preserve">(11) UNIPAPEL, the parent company of the UNIPAPEL Group, is listed on the Madrid and Valencia Stock Exchanges, and none of UNIPAPEL's main shareholders exceeds 10% of the share capital. The main activity of UNIPAPEL is the wholesale distribution of products intended for offices, education, and graphic arts, both of its own products and those of third parties, which includes IT products referred to as IT products (hardware, IT consumables, and storage media). This activity represented, in 2008, […]% of the Group's turnover. It also engages in the marketing of office supplies and retail distribution of office supplies to businesses.  </w:t>
        <w:br/>
        <w:t>(12) ADIMPO is the parent company of the group, controlled by […], and its main activity is the wholesale distribution of IT products, mainly consumables for laser and inkjet printers, especially toners and ink cartridges ([…]% of IT product sales).</w:t>
      </w:r>
    </w:p>
    <w:p>
      <w:r>
        <w:t xml:space="preserve">V. ASSESSMENT  </w:t>
        <w:br/>
        <w:t>(13) This Directorate of Investigation considers that the present concentration does not pose a threat to effective competition in the markets, as the horizontal or vertical overlap between the parties to the transaction is minimal, thus not resulting in a significant modification of the structure of the considered markets or the conditions of competition therein.</w:t>
      </w:r>
    </w:p>
    <w:p>
      <w:r>
        <w:t xml:space="preserve">VI.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