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https://www.cnmc.es/expedientes/c016909</w:t>
      </w:r>
    </w:p>
    <w:p>
      <w:r>
        <w:t>Pages translated : 3</w:t>
      </w:r>
    </w:p>
    <w:p/>
    <w:p>
      <w:r>
        <w:rPr>
          <w:b/>
        </w:rPr>
        <w:t>[Pages 1–3]</w:t>
      </w:r>
    </w:p>
    <w:p>
      <w:r>
        <w:t xml:space="preserve">NATIONAL COMPETITION  </w:t>
        <w:br/>
        <w:t xml:space="preserve">COMMISSION  </w:t>
        <w:br/>
        <w:t xml:space="preserve">RESOLUTION (File C-0169/09, ASTORG/METALOR)  </w:t>
        <w:br/>
        <w:t xml:space="preserve">COUNCIL  </w:t>
        <w:br/>
        <w:t xml:space="preserve">Mr. Luis Berenguer Fuster, President  </w:t>
        <w:br/>
        <w:t xml:space="preserve">Mr. Fernando Torremocha García-Sáenz, Vice President  </w:t>
        <w:br/>
        <w:t xml:space="preserve">Mr. Emilio Conde Fernández-Oliva, Councilor  </w:t>
        <w:br/>
        <w:t xml:space="preserve">Mr. Julio Costas Comesaña, Councilor  </w:t>
        <w:br/>
        <w:t xml:space="preserve">Ms. Mª Jesús González López, Councilor  </w:t>
        <w:br/>
        <w:t xml:space="preserve">Ms. Inmaculada Gutiérrez Carrizo, Councilor  </w:t>
        <w:br/>
        <w:t xml:space="preserve">In Madrid, on August 17, 2009.  </w:t>
        <w:br/>
        <w:t xml:space="preserve">Having reviewed the file processed in accordance with Law 15/2007, of July 3, on the Defense of Competition, regarding the economic concentration consisting of the acquisition by FCPR ASTORG IV—a private equity fund managed by Astorg Partners—of a majority of the shares of the Metalor Group (File C/0169/09), and being in agreement with the report and proposal submitted by the Directorate of Investigation, the Council of the National Competition Commission has resolved, pursuant to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C/0169/09 ASTORG/METALOR  </w:t>
        <w:br/>
        <w:t xml:space="preserve">I. BACKGROUND  </w:t>
        <w:br/>
        <w:t xml:space="preserve">(1) On August 4, 2009, the National Competition Commission (CNC) received a notification regarding the acquisition by FCPR Astorg IV—a private equity fund managed by Astorg Partners—(ASTORG) of a majority of the shares of the Metalor Group (METALOR).  </w:t>
        <w:br/>
        <w:t xml:space="preserve">(2) The transaction was formalized through an unconditional share purchase offer letter that includes the model sale agreement, dated June 8, 2009.  </w:t>
        <w:br/>
        <w:t xml:space="preserve">(3) On August 6, 2009, the notifying party was requested to rectify the notification and provide certain information necessary for the resolution of the file. The response from the notifying party was received on August 14.  </w:t>
        <w:br/>
        <w:t xml:space="preserve">(4) Therefore, the deadline to agree to initiate the second phase of the procedure is September 12, 2009, inclusive. After this date, the notified operation will be considered tacitly authorized.  </w:t>
        <w:br/>
        <w:t xml:space="preserve">II. APPLICABILITY OF LAW 15/2007 ON THE DEFENSE OF COMPETITION  </w:t>
        <w:br/>
        <w:t xml:space="preserve">(4) The notified operation is an economic concentration in the sense of Article 7.1 b) of Law 15/2007, of July 3, on the Defense of Competition (LDC).  </w:t>
        <w:br/>
        <w:t xml:space="preserve">(5) The operation is not of community dimension as it does not reach the sales volume thresholds established in paragraphs 2 and 3 of Article 1 of Council Regulation (EC) No. 139/2004.  </w:t>
        <w:br/>
        <w:t xml:space="preserve">(6) The notified operation meets the requirements set forth by the LDC, as the quota established in Article 8.1.a) of the same is reached, as well as the requirements set forth in Article 56.1 a) of the aforementioned Law.  </w:t>
        <w:br/>
        <w:t xml:space="preserve">III. PARTICIPATING COMPANIES  </w:t>
        <w:br/>
        <w:t xml:space="preserve">(7) ASTORG: Astorg IV is a private investment fund whose main partner and manager is Astorg Partners, S.A.S., which engages in activities related to the planning and execution of acquisitions of equity stakes (majority or minority) in companies across a variety of sectors. Currently, it holds, through the three funds it represents and manages, controlling stakes in 11 active companies, directly or indirectly, in very diverse fields.  </w:t>
        <w:br/>
        <w:t xml:space="preserve">(8) METALOR: is the parent company of a diversified group of companies operating in the sector of refining and manufacturing precious metals (gold, silver, platinum, palladium, rhodium, and iridium) and advanced materials, used in a variety of sectors and industries such as electronics, semiconductors, electrical distribution, and luxury watch manufacturing. In Spain, the Metalor Group (METALOR) operates through its subsidiary Metalor Technologies (Ibérica) S.A., which has commercial offices in Madrid and Barcelona.  </w:t>
        <w:br/>
        <w:t xml:space="preserve">(9) In particular, METALOR operates in the markets of recycling and sale of materials containing platinum group metals (PGMs), recycling and sale of materials containing gold and silver, production and sale of coatings, manufacturing and sale of semi-finished components for jewelry, production and sale of semiconductors, production and sale of interconnection components, and production and sale of passive and electromechanical components. In Spain, METALOR is only present in the marketing activities and not in the manufacturing of these products.  </w:t>
        <w:br/>
        <w:t xml:space="preserve">IV. ASSESSMENT  </w:t>
        <w:br/>
        <w:t xml:space="preserve">(10) This Directorate of Investigation considers that the present concentration does not pose a threat to effective competition in any of the markets in which the acquired company operates, as the acquirer does not engage in any of those markets or in related markets, thus there are no horizontal additions in market shares nor vertical overlaps. As a result of the operation, ASTORG takes on METALOR's position in the markets in which it operates, without the notified operation resulting in a modification of the supply structure in any of the relevant markets.  </w:t>
        <w:br/>
        <w:t xml:space="preserve">V. PROPOSAL  </w:t>
        <w:br/>
        <w:t>(10) 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