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https://www.cnmc.es/expedientes/c017909</w:t>
      </w:r>
    </w:p>
    <w:p>
      <w:r>
        <w:t>Pages translated : 3</w:t>
      </w:r>
    </w:p>
    <w:p/>
    <w:p>
      <w:r>
        <w:rPr>
          <w:b/>
        </w:rPr>
        <w:t>[Pages 1–3]</w:t>
      </w:r>
    </w:p>
    <w:p>
      <w:r>
        <w:t xml:space="preserve">NATIONAL COMPETITION  </w:t>
        <w:br/>
        <w:t xml:space="preserve">COMMISSION  </w:t>
        <w:br/>
        <w:t>RESOLUTION (File C-0179/09, SUNTORY/BLACK LION)</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October 14, 2009.</w:t>
      </w:r>
    </w:p>
    <w:p>
      <w:r>
        <w:t>Having reviewed the file processed in accordance with Law 15/2007, of July 3, on the Defense of Competition, regarding the acquisition by SUNTORY HOLDINGS LTD of the entire share capital of BLACK LION BEVERAGES, SARL, the holding company of the ORANGINA-SCHWEPPES Group (File C/0179/09), and being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 xml:space="preserve">DIRECTORATE OF INVESTIGATION  </w:t>
        <w:br/>
        <w:t xml:space="preserve">REPORT AND PROPOSAL FOR RESOLUTION  </w:t>
        <w:br/>
        <w:t>FILE C/0179/09 SUNTORY/ BLACK LION</w:t>
      </w:r>
    </w:p>
    <w:p>
      <w:r>
        <w:t>I. BACKGROUND</w:t>
      </w:r>
    </w:p>
    <w:p>
      <w:r>
        <w:t>(1) On September 30, 2009, a notification was received by the National Competition Commission (CNC) regarding the acquisition by SUNTORY HOLDINGS LTD. (SUNTORY) of the entire share capital of BLACK LION BEVERAGES, SARL, (BLACK LION), the holding company of the ORANGINA-SCHWEPPES Group.</w:t>
      </w:r>
    </w:p>
    <w:p>
      <w:r>
        <w:t>(2) The transaction has been structured through a Sale Option document, signed in London on September 11, 2009, and a pre-Share Purchase Agreement negotiated between the two parties, whose Article 4 establishes the obligation to obtain authorization from the Competition authorities of Spain, Portugal, and Ukraine as a precondition for the execution of the transaction.</w:t>
      </w:r>
    </w:p>
    <w:p>
      <w:r>
        <w:t>(3) The deadline to agree to initiate the second phase of the procedure is October 30, 2009, inclusive. After this date, the notified operation will be considered tacitly authorized.</w:t>
      </w:r>
    </w:p>
    <w:p>
      <w:r>
        <w:t>II. APPLICABILITY OF LAW 15/2007 ON THE DEFENSE OF COMPETITION</w:t>
      </w:r>
    </w:p>
    <w:p>
      <w:r>
        <w:t>(5) The notified operation is an economic concentration in the sense of Article 7.1 b) of Law 15/2007, of July 3, on the Defense of Competition.</w:t>
      </w:r>
    </w:p>
    <w:p>
      <w:r>
        <w:t>(6) The operation is not of community dimension as it does not reach the thresholds of Article 1 of Regulation 139/2004 of the Council of January 20, 2004, on the control of concentrations between companies.</w:t>
      </w:r>
    </w:p>
    <w:p>
      <w:r>
        <w:t>(7) The notified operation meets the requirements set forth by Law 15/2007 as it exceeds the threshold established in Article 8.1.a) of the same and complies with the requirements set forth in Article 56.1 a) of Law 15/2007.</w:t>
      </w:r>
    </w:p>
    <w:p>
      <w:r>
        <w:t>III. PARTICIPATING COMPANIES</w:t>
      </w:r>
    </w:p>
    <w:p>
      <w:r>
        <w:t>(8) SUNTORY is a holding company based in Tokyo whose commercial activity is primarily focused in Japan, where it manufactures and distributes brands of non-alcoholic beverages, liquors, and beers. Its majority shareholder is the Japanese company Kotobuki Realty Company Ltd.</w:t>
      </w:r>
    </w:p>
    <w:p>
      <w:r>
        <w:t>(9) In Spain, SUNTORY's only activity is the distribution and sale of MOZART chocolate liqueur, manufactured by a company of the same name based in Austria, of which SUNTORY owns 50% of its share capital.</w:t>
      </w:r>
    </w:p>
    <w:p>
      <w:r>
        <w:t>(10) BLACK LION is the holding company of the ORANGINA-SCHWEPPES Group (SCHWEPPES). Its main shareholders are two asset management firms and venture capital funds: Lion Capital LLP and The Blackstone Group International Ltd.</w:t>
      </w:r>
    </w:p>
    <w:p>
      <w:r>
        <w:t>DIRECTORATE OF INVESTIGATION</w:t>
      </w:r>
    </w:p>
    <w:p>
      <w:r>
        <w:t>(11) The activity of SCHWEPPES in Spain is the manufacture and marketing of carbonated beverages, both cola-flavored and non-cola-flavored, non-carbonated beverages, and juices and nectars.</w:t>
      </w:r>
    </w:p>
    <w:p>
      <w:r>
        <w:t>IV. ASSESSMENT</w:t>
      </w:r>
    </w:p>
    <w:p>
      <w:r>
        <w:t>(10) This Directorate of Investigation considers that the present concentration does not constitute a modification of the structure of the markets for carbonated beverages (cola and non-cola), non-carbonated beverages, and fruit juices in its two distribution channels, food and horeca, as the acquiring group is not present in the same.</w:t>
      </w:r>
    </w:p>
    <w:p>
      <w:r>
        <w:t>V. PROPOSAL</w:t>
      </w:r>
    </w:p>
    <w:p>
      <w:r>
        <w:t>(11)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