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https://www.cnmc.es/expedientes/c018109</w:t>
      </w:r>
    </w:p>
    <w:p>
      <w:r>
        <w:t>Pages translated : 8</w:t>
      </w:r>
    </w:p>
    <w:p/>
    <w:p>
      <w:r>
        <w:rPr>
          <w:b/>
        </w:rPr>
        <w:t>[Pages 1–3]</w:t>
      </w:r>
    </w:p>
    <w:p>
      <w:r>
        <w:t>NATIONAL COMMISSION</w:t>
        <w:br/>
        <w:t>FOR COMPETITION</w:t>
        <w:br/>
        <w:t>RESOLUTION (File C-0181/09, MINERSA/VMC)</w:t>
        <w:b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November 11, 2009.</w:t>
        <w:br/>
        <w:t>Having reviewed the file processed in accordance with Law 15/2007, of July 3, on the Defense of Competition, regarding the acquisition by MINERALES Y PRODUCTOS S.A. (Minersa Group) of exclusive control over VERGENOEG MINING COMPANY LTD (File C/0181/09), and agreeing with the report and proposal submitted by the Directorate of Investigation, the Council of the National Commission for Competition has resolved, pursuant to Article 57.2.a) of the aforementioned Law, to authorize the said concentration operation in the first phase.</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PROPOSAL FOR RESOLUTION</w:t>
        <w:br/>
        <w:t>FILE C/0181/09 MINERSA/VMC</w:t>
      </w:r>
    </w:p>
    <w:p>
      <w:r>
        <w:t>I. BACKGROUND</w:t>
      </w:r>
    </w:p>
    <w:p>
      <w:r>
        <w:t>(1) On October 21, 2009, this Directorate of Investigation received notification of the acquisition by MINERALES Y PRODUCTOS, S.A. (MINERSA GROUP) of exclusive control over VERGENOEG MINING COMPANY LTD. (VMC).</w:t>
      </w:r>
    </w:p>
    <w:p>
      <w:r>
        <w:t>(2) This notification has been made by MINERSA GROUP in accordance with Article 9 of Law 15/2007, of July 3, on the Defense of Competition, for exceeding the threshold established in Article 8.1 a). This operation is subject to the provisions of Royal Decree 261/2008 of February 22, which approves the Competition Defense Regulation.</w:t>
      </w:r>
    </w:p>
    <w:p>
      <w:r>
        <w:t>(3) Article 57.2.c) of Law 15/2007 establishes that the Council of the National Commission for Competition shall issue a resolution in the first phase in which it may decide to initiate the second phase of the procedure when it considers that the concentration may hinder the maintenance of effective competition in all or part of the national market.</w:t>
      </w:r>
    </w:p>
    <w:p>
      <w:r>
        <w:t>(4) Furthermore, Article 38.2 of Law 15/2007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w:t>
      </w:r>
    </w:p>
    <w:p>
      <w:r>
        <w:t>(5) According to the above, the deadline to agree to initiate the second phase of the procedure is November 21, 2009, inclusive. After this date, the notified operation will be considered tacitly authorized.</w:t>
      </w:r>
    </w:p>
    <w:p>
      <w:r>
        <w:t>II. NATURE OF THE OPERATION</w:t>
      </w:r>
    </w:p>
    <w:p>
      <w:r>
        <w:t>(6) The concentration operation consists of the acquisition by MINERALES Y PRODUCTOS, S.A. (MINERSA GROUP) of exclusive control over VERGENOEG MINING COMPANY LTD. (VMC) through a contract signed on September 22, 2009.</w:t>
      </w:r>
    </w:p>
    <w:p>
      <w:r>
        <w:t>(7) Under the terms of this contract, MINERSA GROUP acquires 55% of the share capital of VMC, which, combined with the 30% of the capital it already owns, will result in it owning 85% of VMC.</w:t>
      </w:r>
    </w:p>
    <w:p>
      <w:r>
        <w:t>(8) The proposed operation will affect all the assets owned by VMC, especially the fluorspar mine located in Rust de Winter, in the northern province of South Africa. […]1.</w:t>
      </w:r>
    </w:p>
    <w:p>
      <w:r>
        <w:t>(9) The execution of the operation is conditioned upon its authorization by the competition authorities of Spain.</w:t>
        <w:br/>
        <w:t>1 Information whose exact content has been declared confidential is indicated in brackets.</w:t>
      </w:r>
    </w:p>
    <w:p>
      <w:r>
        <w:t>DIRECTORATE OF INVESTIGATION</w:t>
      </w:r>
    </w:p>
    <w:p>
      <w:r>
        <w:t>III. APPLICABILITY OF LAW 15/2007 ON THE DEFENSE OF COMPETITION</w:t>
      </w:r>
    </w:p>
    <w:p>
      <w:r>
        <w:t>(10) According to the notifying party, the operation does not fall within the scope of application of Council Regulation (EC) No 139/2004 of January 20, on the control of concentrations between undertakings.</w:t>
      </w:r>
    </w:p>
    <w:p>
      <w:r>
        <w:t>(11) However, the notified operation meets the requirements set forth by Law 15/2007 for its notification, as it exceeds the threshold established in Article 8.1a) of the same.</w:t>
      </w:r>
    </w:p>
    <w:p>
      <w:r>
        <w:t>IV. PARTICIPATING COMPANIES</w:t>
      </w:r>
    </w:p>
    <w:p>
      <w:r>
        <w:t>IV.1. MINERALES Y PRODUCTOS DERIVADOS, S.A. ("MINERSA GROUP")</w:t>
      </w:r>
    </w:p>
    <w:p>
      <w:r>
        <w:t>(12) MINERSA GROUP is a Spanish company listed on the Bilbao Stock Exchange. It is engaged in the extraction, production, and commercialization of acid-grade fluorspar and its derivatives.</w:t>
      </w:r>
    </w:p>
    <w:p>
      <w:r>
        <w:t>(13) One of its subsidiaries, DERIVADOS DEL FLUOR, S.A. (DDF) operates in the downstream market of fluorinated chemical products derived from acid-grade fluorspar. It sources fluorspar from […] of its parent MINERSA and from the […] remaining part of the acquired company in this operation, VMC.</w:t>
      </w:r>
    </w:p>
    <w:p>
      <w:r>
        <w:t>(14) The turnover of MINERSA GROUP in the last financial year, according to Art. 5 of R.D. 261/2008, is, according to the notifying party, as follows:</w:t>
        <w:br/>
        <w:t>MINERSA GROUP TURNOVER IN 2008</w:t>
        <w:br/>
        <w:t>(millions of euros)</w:t>
        <w:br/>
        <w:t>GLOBAL EU SPAIN</w:t>
        <w:br/>
        <w:t>&lt; 2,500 &lt; 250 &lt; 60</w:t>
        <w:br/>
        <w:t>Source: Notification</w:t>
      </w:r>
    </w:p>
    <w:p>
      <w:r>
        <w:t>IV.2. VERGENOEG MINING COMPANY LTD. (VMC)</w:t>
      </w:r>
    </w:p>
    <w:p>
      <w:r>
        <w:t>(15) South African company, belonging to the South African mining group METOREX, whose main activity is the operation of a mine located in South Africa from which it extracts, produces, and markets acid-grade fluorspar.</w:t>
      </w:r>
    </w:p>
    <w:p>
      <w:r>
        <w:t>(16) Currently, MINERSA owns 30% of the share capital of VMC.</w:t>
      </w:r>
    </w:p>
    <w:p>
      <w:r>
        <w:t>(17) VMC sells acid-grade fluorspar exclusively in Spain to DDF, a subsidiary of MINERSA Group.</w:t>
      </w:r>
    </w:p>
    <w:p>
      <w:r>
        <w:t>(18) The turnover of VMC in the last financial year, according to Art. 5 of R.D. 261/2008, is, according to the notifying party, as follows:</w:t>
        <w:br/>
        <w:t>VMC TURNOVER IN 2008</w:t>
        <w:br/>
        <w:t>(millions of euros)</w:t>
        <w:br/>
        <w:t>GLOBAL EU SPAIN</w:t>
        <w:br/>
        <w:t>&lt; 2,500 &lt; 250 &lt; 60</w:t>
        <w:br/>
        <w:t>Source: Notification</w:t>
      </w:r>
    </w:p>
    <w:p>
      <w:r>
        <w:rPr>
          <w:b/>
        </w:rPr>
        <w:t>[Pages 4–6]</w:t>
      </w:r>
    </w:p>
    <w:p>
      <w:r>
        <w:t>INVESTIGATION DIRECTORATE</w:t>
      </w:r>
    </w:p>
    <w:p>
      <w:r>
        <w:t>V. RELEVANT MARKETS</w:t>
      </w:r>
    </w:p>
    <w:p>
      <w:r>
        <w:t>V.1 Product Markets</w:t>
      </w:r>
    </w:p>
    <w:p>
      <w:r>
        <w:t>(19) The operation affects the extraction, production, and commercialization of minerals, in particular, acid-grade fluorspar.</w:t>
      </w:r>
    </w:p>
    <w:p>
      <w:r>
        <w:t>(20) There are no national or community precedents for fluorspar, but in the community case EN+/GLENCORE/SUAL/UC RUSAL2, the European Commission understood that there was a market for the extraction, production, and commercialization of bauxite separate from the market for products derived from it. Consequently, the activity of extraction, production, and commercialization of a specific mineral like fluorspar could be considered a distinct market in itself, separate from that of the products derived from it.</w:t>
      </w:r>
    </w:p>
    <w:p>
      <w:r>
        <w:t>(21) Once the fluorine mineral (or fluorspar) is extracted from the mine, it is transported to a washing facility for enrichment and subsequent transport to processing plants where, through various industrial processes, derived products are obtained. These derived products are referred to as fluorinated products and are primarily intended for the chemical and aluminum industries. Thus, it would be possible to distinguish between two types of fluorspar based on their corresponding grade and use: (i) acid-grade fluorspar (intended for the chemical and aluminum industries), and (ii) metallurgical-grade fluorspar (primarily intended for the steel industry).</w:t>
      </w:r>
    </w:p>
    <w:p>
      <w:r>
        <w:t>(22) Regarding the possible consideration of whether the different grades constitute separate product markets, in the concentration ANGLO AMERICAN/KUMBA RESOURCES3, the European Commission considered that several types of zirconium could be differentiated based on their grade as it could be relevant for their subsequent uses. However, it left the issue open, insofar as the operation was not likely to produce restrictive effects on competition under any definition.</w:t>
      </w:r>
    </w:p>
    <w:p>
      <w:r>
        <w:t>(23) Among the main fluorinated chemical products derived from acid-grade fluorspar, the following stand out: anhydrous hydrofluoric acid, aqueous hydrofluoric acid, aluminum fluoride, magnesium fluoride, potassium fluoride, sodium fluoride BP-USP, nickel fluoride, etc.</w:t>
      </w:r>
    </w:p>
    <w:p>
      <w:r>
        <w:t>(24) Consequently, the relevant market affected by the operation is that of the production and commercialization of acid-grade fluorspar.</w:t>
      </w:r>
    </w:p>
    <w:p>
      <w:r>
        <w:t>V.2 Geographical Markets</w:t>
      </w:r>
    </w:p>
    <w:p>
      <w:r>
        <w:t>(25) The notifying party indicates that the relevant geographical scope of the fluorspar market is supranational, even global. There is a significant volume of international trade as any fluorspar mine can supply and does supply demands anywhere in the world.</w:t>
      </w:r>
    </w:p>
    <w:p>
      <w:r>
        <w:t>(26) The sources of fluorspar extraction are primarily located in China, Mexico, Mongolia, South Africa, Kenya, Morocco, Namibia, Russia, the United Kingdom, Germany, Italy, and Spain4, areas from which this material is marketed worldwide, primarily by sea in large container ships.</w:t>
      </w:r>
    </w:p>
    <w:p>
      <w:r>
        <w:t>(27) In the case of the main producing countries worldwide, China exported approximately 25% of its fluorspar production in 2008, while in the case of Mexico, this percentage was over 50%, with exports primarily destined for countries in the European Union, the USA, and Japan. For its part, MINERSA imports from South Africa up to […] of its production.</w:t>
      </w:r>
    </w:p>
    <w:p>
      <w:r>
        <w:t>VI. MARKET ANALYSIS</w:t>
      </w:r>
    </w:p>
    <w:p>
      <w:r>
        <w:t>VI.1. Supply Structure</w:t>
      </w:r>
    </w:p>
    <w:p>
      <w:r>
        <w:t>(28) In Spain, […] of the supply of acid-grade fluorspar is in the hands of MINERSA and VMC. In turn, […] of the consumption of fluorspar is carried out by DDF, the vertically integrated subsidiary of the MINERSA GROUP.</w:t>
      </w:r>
    </w:p>
    <w:p>
      <w:r>
        <w:t>(29) However, at the global level, China produces more than half of the acid-grade fluorspar. Among the remaining producers, there are a number of companies that are controlled by consuming companies. This is the case for companies like MEXICHEM, SOLVAY, INEOS, or MINERSA itself, which control mines to ensure their supply. Others like FLUORSID and FLUOCHEMIE are developing mines to be in the same situation in the future.</w:t>
      </w:r>
    </w:p>
    <w:p>
      <w:r>
        <w:t>(30) The notifying party indicates that they do not have reliable information regarding the market shares of companies active worldwide in the relevant market of the extraction, production, and commercialization of fluorspar. The only available data is aggregated by producing regions:</w:t>
      </w:r>
    </w:p>
    <w:p>
      <w:r>
        <w:t>Extraction, production, and commercialization of fluorspar in Spain</w:t>
        <w:br/>
        <w:t>(Volume –Tons.)</w:t>
      </w:r>
    </w:p>
    <w:p>
      <w:r>
        <w:t>Company 2006 2007 2008</w:t>
        <w:br/>
        <w:t>Thousands Tons. % Thousands Tons. % Thousands Tons. %</w:t>
        <w:br/>
        <w:t>ASIA 2,821 52.4 2,976 54.6 3,000 52.8</w:t>
        <w:br/>
        <w:t>NORTH AMERICA 936 17.4 933 17.1 1,058 18.6</w:t>
        <w:br/>
        <w:t>CIS AND MONGOLIA 665 12.3 644 11.8 700 12.3</w:t>
        <w:br/>
        <w:t>AFRICA 559 10.3 560 10.2 584 10.2</w:t>
        <w:br/>
        <w:t>EU 323 6 262 4.8 260 4.5</w:t>
        <w:br/>
        <w:t>SOUTH AMERICA 72 1.3 75 1.3 75 1.3</w:t>
        <w:br/>
        <w:t>Source: Notifying party.</w:t>
      </w:r>
    </w:p>
    <w:p>
      <w:r>
        <w:t>(31) The notifying company estimates that the combined market share of the parties in the EEA is approximately [30-40%].</w:t>
      </w:r>
    </w:p>
    <w:p>
      <w:r>
        <w:t>(32) The shares of the parties in the Spanish market for the extraction, production, and commercialization of fluorspar are as follows:</w:t>
      </w:r>
    </w:p>
    <w:p>
      <w:r>
        <w:t>Extraction, production, and commercialization of fluorspar in Spain</w:t>
        <w:br/>
        <w:t>(Value –millions €)</w:t>
      </w:r>
    </w:p>
    <w:p>
      <w:r>
        <w:t>Company 2006 2007 2008</w:t>
        <w:br/>
        <w:t>M. Euros % M. Euros % M. Euros %</w:t>
        <w:br/>
        <w:t>MINERSA [...] [90-100%] [...] [90-100%] [...] [80-90%]</w:t>
        <w:br/>
        <w:t>VMC [...] [0-10%] [...] [0-10%] [...] [10-20%]</w:t>
        <w:br/>
        <w:t>TOTAL COMBINED [...] [90-100%] [...] [90-100%] [...] [90-100%]</w:t>
        <w:br/>
        <w:t>Source: Notifying party.</w:t>
      </w:r>
    </w:p>
    <w:p>
      <w:r>
        <w:t>Extraction, production, and commercialization of fluorspar in Spain</w:t>
        <w:br/>
        <w:t>(Volume –Tons.)</w:t>
      </w:r>
    </w:p>
    <w:p>
      <w:r>
        <w:t>Company 2006 2007 2008</w:t>
        <w:br/>
        <w:t>Tons. % Tons. % Tons. %</w:t>
        <w:br/>
        <w:t>MINERSA […] [80-90%] [...] [80-90%] [...] [80-90%]</w:t>
        <w:br/>
        <w:t>VMC [...] [10-20%] [...] [10-20%] [...] [10-20%]</w:t>
        <w:br/>
        <w:t>TOTAL COMBINED [...] [90-100%] [...] [90-100%] [...] [90-100%]</w:t>
        <w:br/>
        <w:t>Source: Notifying party.</w:t>
      </w:r>
    </w:p>
    <w:p>
      <w:r>
        <w:t>VI.2. Demand Structure, Distribution, and Prices</w:t>
      </w:r>
    </w:p>
    <w:p>
      <w:r>
        <w:t>(33) As mentioned, currently, in Spain, […] of the demand for fluorspar corresponds to the subsidiary of MINERSA, DDF.</w:t>
      </w:r>
    </w:p>
    <w:p>
      <w:r>
        <w:t>(34) At the international level, the demand in the fluorspar market is fundamentally constituted by large professional buyers, such as companies in the chemical and aluminum sectors.</w:t>
      </w:r>
    </w:p>
    <w:p>
      <w:r>
        <w:t>(35) In the fluorspar market, there are no proper distribution channels. Extractive companies usually process the raw mineral at their facilities to obtain a sellable acid-grade fluorspar concentrate, which they then typically market directly through their own sales offices or through agents.</w:t>
      </w:r>
    </w:p>
    <w:p>
      <w:r>
        <w:t>(36) However, a good number of extractive companies are vertically integrated or have significant stakes in chemical sector companies to which they usually supply directly. This is the case in Spain, where DDF consumes […] of the fluorspar from the market, acquiring most of its supply through intragroup sales made to MINERSA. The rest of its fluorspar needs are acquired from VMC.</w:t>
      </w:r>
    </w:p>
    <w:p>
      <w:r>
        <w:t>(37) The global dependence on Chinese fluorspar reserves has allowed this country to establish export controls on fluorspar in the form of quotas and license fees, ultimately controlling price levels for years. As a result of these policies, there has been an increase in fluorspar prices in international markets. At the same time, the artificially low prices of fluorine-derived products exported by China are triggering the exit from the market of numerous extractive companies.</w:t>
      </w:r>
    </w:p>
    <w:p>
      <w:r>
        <w:rPr>
          <w:b/>
        </w:rPr>
        <w:t>[Pages 7–8]</w:t>
      </w:r>
    </w:p>
    <w:p>
      <w:r>
        <w:t>INVESTIGATION DIRECTORATE</w:t>
      </w:r>
    </w:p>
    <w:p>
      <w:r>
        <w:t>competing companies and is leading to the closure or relocation of international consumers of fluorspar.</w:t>
      </w:r>
    </w:p>
    <w:p>
      <w:r>
        <w:t>(38) Aside from the particularities of the Chinese case, the notifying party points out that, in general, there are no substantial differences between the price levels of acid-grade fluorspar in the Spanish, European, and global markets. Prices are determined by supply and demand and fluctuate based on various competitive parameters such as supply guarantees, purchase volume, and freight costs.</w:t>
      </w:r>
    </w:p>
    <w:p>
      <w:r>
        <w:t>VI.3. Potential Competition - Barriers to Entry</w:t>
      </w:r>
    </w:p>
    <w:p>
      <w:r>
        <w:t>(39) The main barrier existing in the market for the extraction, production, and commercialization of fluorspar at a global level is the difficulty in finding profitable deposits in terms of reserves, so that the mineral is technically processable and convertible into a sellable product at a reasonable cost.</w:t>
      </w:r>
    </w:p>
    <w:p>
      <w:r>
        <w:t>(40) On the other hand, to achieve profitable exploitation, it is advisable for the mine to be as close as possible to a port, so that the transportation of the mineral does not inflate costs.</w:t>
      </w:r>
    </w:p>
    <w:p>
      <w:r>
        <w:t>(41) Regarding the administrative requirements necessary to commence mineral extraction activities, the Mining Law and the General Regulation for the Mining Regime apply. In general terms, this regulation requires compliance with various procedures, primarily (i) the application for an exploration permit to carry out the relevant prospecting; and (ii) the application for an administrative concession once the deposit has been located. Additionally, it will be necessary to obtain a positive environmental impact declaration.</w:t>
      </w:r>
    </w:p>
    <w:p>
      <w:r>
        <w:t>(42) At the international level, however, it should be mentioned that there are restrictions on foreign investment related to mineral extraction in some countries. This is the case in China, for example, a country that prohibits foreign companies from owning fluorspar mines and where administrative hurdles are difficult to overcome.</w:t>
      </w:r>
    </w:p>
    <w:p>
      <w:r>
        <w:t>(43) In Spain, there are no restrictions on the importation of acid-grade fluorspar. There are supplies available from Mexico, China, Kenya, Morocco, South Africa, Namibia, or Mongolia, the main producing countries. Consequently, access to this product is not excessively complicated.</w:t>
      </w:r>
    </w:p>
    <w:p>
      <w:r>
        <w:t>VII. ASSESSMENT OF THE OPERATION</w:t>
      </w:r>
    </w:p>
    <w:p>
      <w:r>
        <w:t>(44) The notified operation consists of the acquisition by MINERALES Y PRODUCTOS, S.A. (MINERSA GROUP) of exclusive control over VERGENOEG MINING COMPANY LTD. (VMC).</w:t>
      </w:r>
    </w:p>
    <w:p>
      <w:r>
        <w:t>(45) The relevant market affected by the operation is the market for the extraction, production, and commercialization of acid-grade fluorspar, and the geographical scope of competition in this market is supranational.</w:t>
      </w:r>
    </w:p>
    <w:p>
      <w:r>
        <w:t>(46) In Spain, [...] of the supply of acid-grade fluorspar is in the hands of MINERSA and VMC. In turn, [...] of the consumption of fluorspar in Spain is carried out by DDF, a subsidiary of MINERSA GROUP.</w:t>
      </w:r>
    </w:p>
    <w:p>
      <w:r>
        <w:t>(47) In contrast, at the global level, there are many producers of acid-grade fluorspar. China is the leading producer of fluorspar in the international market, followed by Mexico. The demand resides in companies in the chemical sector and aluminum manufacturers.</w:t>
      </w:r>
    </w:p>
    <w:p>
      <w:r>
        <w:t>(48) This operation, while adding a share of [10-20%] to reach the [...] of the market for the extraction, production, and commercialization of acid-grade fluorspar in Spain, will not have effects on competition since only MINERSA's subsidiary, DDF, acquires fluorspar in Spain.</w:t>
      </w:r>
    </w:p>
    <w:p>
      <w:r>
        <w:t>(49) Thus, as a result of the operation, DDF will exclusively supply from MINERSA, which will now also directly control the imported production from South Africa, reinforcing its vertical integration. However, to the extent that it was already acquiring all of its sales of acid-grade fluorspar in Spain from VMC, there is no substantial alteration of the competitive conditions in that market.</w:t>
      </w:r>
    </w:p>
    <w:p>
      <w:r>
        <w:t>(50) Taking all of the above into account, it is not expected that the operation will pose a threat to competition in the relevant market, and therefore it is susceptible to being approved in the first phase without commitments.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