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https://www.cnmc.es/expedientes/c018209</w:t>
      </w:r>
    </w:p>
    <w:p>
      <w:r>
        <w:t>Pages translated : 3</w:t>
      </w:r>
    </w:p>
    <w:p/>
    <w:p>
      <w:r>
        <w:rPr>
          <w:b/>
        </w:rPr>
        <w:t>[Pages 1–3]</w:t>
      </w:r>
    </w:p>
    <w:p>
      <w:r>
        <w:t xml:space="preserve">NATIONAL COMPETITION COMMISSION  </w:t>
        <w:br/>
        <w:t xml:space="preserve">RESOLUTION (File C-0182/09, MITTEL-EQUINOX/SORIN)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 xml:space="preserve">In Madrid, on November 18, 2009.  </w:t>
        <w:br/>
        <w:t xml:space="preserve">Having reviewed the file processed in accordance with Law 15/2007, of July 3, on the Defense of Competition, regarding the acquisition by MITTEL S.p.A. and EQUINOX S.c.p.A. of joint control over SORIN S.p.A. (File C/0182/09), and agreeing with the report and proposal submitted by the Directorate of Investigation, the Council of the National Competition Commission has resolved, pursuant to Article 57.2.a) of the aforementioned Law, to authorize the said concentration operation in the first phase.  </w:t>
        <w:b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 xml:space="preserve">DIRECTORATE OF INVESTIGATION  </w:t>
        <w:br/>
        <w:t xml:space="preserve">REPORT AND PROPOSAL FOR RESOLUTION  </w:t>
        <w:br/>
        <w:t>FILE C/0182/09 MITTEL/EQUINOX/SORIN</w:t>
      </w:r>
    </w:p>
    <w:p>
      <w:r>
        <w:t xml:space="preserve">I. BACKGROUND  </w:t>
        <w:br/>
        <w:t xml:space="preserve">(1) On November 2, 2009, a notification was received by the National Competition Commission (CNC) regarding the acquisition by MITTEL S.P.A. and EQUINOX S.C.P.A. of joint control over SORIN S.P.A, through the signing of a shareholders' agreement with MPS and Unipol to achieve a stable majority in the Board of Directors, thereby ending the pre-existing situation of shifting majorities.  </w:t>
        <w:br/>
        <w:t>(2) The deadline to agree to initiate the second phase of the procedure is December 2, 2009, inclusive. After this date, the notified operation will be considered tacitly authorized.</w:t>
      </w:r>
    </w:p>
    <w:p>
      <w:r>
        <w:t xml:space="preserve">II. APPLICABILITY OF LAW 15/2007 ON THE DEFENSE OF COMPETITION  </w:t>
        <w:br/>
        <w:t xml:space="preserve">(3) The notified operation is an economic concentration in the sense of Article 7.1 c of the LDC.  </w:t>
        <w:br/>
        <w:t xml:space="preserve">(4) The operation is not of community dimension, as it does not reach the thresholds established in paragraphs 2 and 3 of Article 1 of Council Regulation (EC) No. 139/2004 of January 20, 2004, on the control of concentrations between undertakings.  </w:t>
        <w:br/>
        <w:t>(5) The notified operation meets the requirements set forth by the LDC as it exceeds the threshold established in Article 8.1 a) of the same and complies with the requirements set forth in Article 56.1 a) of the aforementioned regulation.</w:t>
      </w:r>
    </w:p>
    <w:p>
      <w:r>
        <w:t xml:space="preserve">III. PARTICIPATING COMPANIES  </w:t>
        <w:br/>
        <w:t xml:space="preserve">(6) MITTEL S.P.A. has as its main activity the execution of financial operations in the private equity sector, investing in medium-sized unlisted companies with a time horizon of 3 to 5 years.  </w:t>
        <w:br/>
        <w:t xml:space="preserve">(7) EQUINOX S.C.P.A. has as its main activity the acquisition of majority or qualified minority shareholdings in industrial and/or service companies, directly or indirectly, as well as through joint investments with third parties.  </w:t>
        <w:br/>
        <w:t>(8) SORIN S.P.A. has as its main activity the production and marketing of medical devices, in particular apparatus and devices for the treatment of cardiovascular diseases.</w:t>
      </w:r>
    </w:p>
    <w:p>
      <w:r>
        <w:t xml:space="preserve">IV. ASSESSMENT  </w:t>
        <w:br/>
        <w:t>(9) This Directorate of Investigation considers that the present concentration does not pose a threat to effective competition in the markets, as there is no horizontal or vertical overlap between the parties to the operation.</w:t>
      </w:r>
    </w:p>
    <w:p>
      <w:r>
        <w:t xml:space="preserve">DIRECTORATE OF INVESTIGATION  </w:t>
        <w:br/>
        <w:t xml:space="preserve">V. PROPOSAL  </w:t>
        <w:br/>
        <w:t>In light of all the above and by virtue of Article 57.1 of Law 15/2007, of July 3, on the Defense of Competition, it is proposed to authorize the concentration, pursuant to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