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https://www.cnmc.es/expedientes/c018609</w:t>
      </w:r>
    </w:p>
    <w:p>
      <w:r>
        <w:t>Pages translated : 3</w:t>
      </w:r>
    </w:p>
    <w:p/>
    <w:p>
      <w:r>
        <w:rPr>
          <w:b/>
        </w:rPr>
        <w:t>[Pages 1–3]</w:t>
      </w:r>
    </w:p>
    <w:p>
      <w:r>
        <w:t xml:space="preserve">NATIONAL COMPETITION  </w:t>
        <w:br/>
        <w:t xml:space="preserve">COMMISSION  </w:t>
        <w:br/>
        <w:t xml:space="preserve">RESOLUTION (File C-0186/09, CASER/CAIXANOVA/CAIXANOVA  </w:t>
        <w:br/>
        <w:t>LIFE/BANK)</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December 2, 2009.</w:t>
      </w:r>
    </w:p>
    <w:p>
      <w:r>
        <w:t>Having reviewed the file processed in accordance with Law 15/2007, of July 3, on the Defense of Competition, regarding the joint control acquisition by CAIXA DE AFORROS DE VIGO, OURENSE E PONTEVEDRA (CAIXANOVA) and CAJA DE SEGUROS REUNIDOS COMPAÑÍA DE SEGUROS Y REASEGUROS S.A. (CASER) of CAIXANOVA VIDA Y PENSIONES S.A. DE SEGUROS Y REASEGUROS (CAIXANOVA VIDA) and BANCO GALLEGO VIDA Y PENSIONES S.A. DE SEGUROS Y REASEGUROS (BANCO GALLEGO VIDA), which were previously under the exclusive control of CAIXANOVA (File C/0186/09),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DIRECTORATE OF INVESTIGATION  </w:t>
        <w:br/>
        <w:t xml:space="preserve">REPORT AND PROPOSAL FOR RESOLUTION  </w:t>
        <w:br/>
        <w:t xml:space="preserve">FILE C/0186/09 CASER/CAIXANOVA/CAIXANOVA LIFE/BANK  </w:t>
        <w:br/>
        <w:t>GALICIAN LIFE</w:t>
      </w:r>
    </w:p>
    <w:p>
      <w:r>
        <w:t>I. BACKGROUND</w:t>
      </w:r>
    </w:p>
    <w:p>
      <w:r>
        <w:t>(1) On November 20, 2009, a notification was received by the National Competition Commission (CNC) regarding the joint control acquisition by CAIXA DE AFORROS DE VIGO, OURENSE E PONTEVEDRA ("CAIXANOVA") and CAJA DE SEGUROS REUNIDOS, COMPAÑÍA DE SEGUROS Y REASEGUROS, S.A. ("CASER") of CAIXANOVA VIDA Y PENSIONES, S.A. DE SEGUROS Y REASEGUROS ("CAIXANOVA VIDA") and BANCO GALLEGO VIDA Y PENSIONES, S.A. DE SEGUROS Y REASEGUROS ("BANCO GALLEGO VIDA"), which were previously under the exclusive control of CAIXANOVA1.</w:t>
      </w:r>
    </w:p>
    <w:p>
      <w:r>
        <w:t>(2) The deadline to agree to initiate the second phase of the procedure is December 21, 2009, inclusive. After this date, the notified operation will be considered tacitly authorized.</w:t>
      </w:r>
    </w:p>
    <w:p>
      <w:r>
        <w:t>II. APPLICABILITY OF LAW 15/2007 ON THE DEFENSE OF COMPETITION</w:t>
      </w:r>
    </w:p>
    <w:p>
      <w:r>
        <w:t>(3) The notified operation is an economic concentration in the sense of Article 7.1 c) of Law 15/2007, of July 3, on the Defense of Competition.</w:t>
      </w:r>
    </w:p>
    <w:p>
      <w:r>
        <w:t>(4) The operation is not of community dimension, as it does not reach the thresholds established in paragraphs 2 and 3 of Article 1 of Council Regulation (EC) No. 139/2004 of January 20, 2004, on the control of concentrations between undertakings.</w:t>
      </w:r>
    </w:p>
    <w:p>
      <w:r>
        <w:t>(5) The notified operation meets the requirements set forth by Law 15/2007 as it exceeds the threshold established in Article 8.1. b) of the same and complies with the requirements set forth in Article 56.1 b) of Law 15/2007.</w:t>
      </w:r>
    </w:p>
    <w:p>
      <w:r>
        <w:t>III. PARTICIPATING COMPANIES</w:t>
      </w:r>
    </w:p>
    <w:p>
      <w:r>
        <w:t>(6) CASER is a Spanish company that is participated by various savings banks, by the Spanish Confederation of Savings Banks (CECA), and by the French mutuals, MAAF Assurances (MAAF) and Le Mans Conseil (MMA), not being under joint or exclusive control of any of them. Its main activity is that of insurer and reinsurer of risks in the main branches of life and non-life insurance and in the management of pension funds.</w:t>
      </w:r>
    </w:p>
    <w:p>
      <w:r>
        <w:t>(7) CAIXANOVA is a savings bank and as such a financial institution of a social character and foundational nature, non-profit, dedicated to the collection, administration, and investment of the savings of individuals. Among the portfolio of participations of CAIXANOVA is BANCO GALLEGO, which it controls de facto exclusively.</w:t>
      </w:r>
    </w:p>
    <w:p>
      <w:r>
        <w:t>(8) CAIXANOVA VIDA and BANCO GALLEGO VIDA are companies established in October 2009, currently without business activity and whose sole shareholder is CAIXANOVA, indirectly in the case of BANCO GALLEGO VIDA. Their activity will focus on the marketing of life and dependency insurance, as well as the management of pension plans and funds.</w:t>
      </w:r>
    </w:p>
    <w:p>
      <w:r>
        <w:t>IV. VALUATION</w:t>
      </w:r>
    </w:p>
    <w:p>
      <w:r>
        <w:t>(9) This Directorate of Investigation considers that the present concentration does not pose a threat to effective competition in the markets as the participation of the parties in the markets is of little significance.</w:t>
      </w:r>
    </w:p>
    <w:p>
      <w:r>
        <w:t>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