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https://www.cnmc.es/expedientes/c018809</w:t>
      </w:r>
    </w:p>
    <w:p>
      <w:r>
        <w:t>Pages translated : 3</w:t>
      </w:r>
    </w:p>
    <w:p/>
    <w:p>
      <w:r>
        <w:rPr>
          <w:b/>
        </w:rPr>
        <w:t>[Pages 1–3]</w:t>
      </w:r>
    </w:p>
    <w:p>
      <w:r>
        <w:t>NATIONAL COMPETITION COMMISSION RESOLUTION (File C-0188/09, RBA/EDIPRESSE) COUNCIL Mr. Luis Berenguer Fuster, President Mr. Fernando Torremocha García-Sáenz, Vice President Mr. Emilio Conde Fernández-Oliva, Councilor Mr. Miguel Cuerdo Mir, Councilor Ms. Pilar Sánchez Núñez, Councilor Mr. Julio Costas Comesaña, Councilor Ms. Mª Jesús González López, Councilor Ms. Inmaculada Gutiérrez Carrizo, Councilor In Madrid, on December 16, 2009. Having reviewed the file processed in accordance with Law 15/2007, of July 3, on the Defense of Competition, regarding the acquisition by RBA PUBLICACIONES S.L. of exclusive control over RBA-EDIPRESSE S.L., over which it already held joint control together with Edipresse Internacional S.a.r.l. (File C/0188/09),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 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 REPORT AND PROPOSAL FOR RESOLUTION FILE C/0188/09 RBA/EDIPRESSE I. BACKGROUND (1) On December 2, 2009, a notification was received by the National Competition Commission (CNC) regarding the acquisition by RBA Publicaciones, S.L. (RBA Group) of exclusive control over RBA-Edipresse, S.L. (RBA-EDIPRESSE), over which it already held joint control together with Edipresse Internacional S.a.r.l. (2) The concentration operation is carried out through the acquisition by the RBA Group of [...] of the share capital of RBA-EDIPRESSE, by means of a purchase agreement dated November 27, 2009. (3) The deadline to agree to initiate the second phase of the procedure is January 2, 2010, inclusive. After this date, the notified operation will be considered tacitly authorized. II. APPLICABILITY OF LAW 15/2007 ON THE DEFENSE OF COMPETITION (4) The concentration operation consists of the acquisition by the RBA Group of exclusive control over the company RBA-Edipresse, over which it already had joint control. (5) The operation is an economic concentration in accordance with the provisions of Article 7.1 b) of Law 15/2007, of July 3, on the Defense of Competition. (6) The notified operation is not of community dimension as the combined turnover of the parties does not reach the thresholds established in Article 1 of Regulation (EC) No. 139/2004, on the control of concentrations. (7) The notified operation meets the requirements set forth by Law 15/2007, as it exceeds the threshold established in Article 8.1.a) thereof, and meets the requirements set forth in Article 56.1.c) of Law 15/2007 for processing through a simplified form. III. PARTICIPATING COMPANIES III.1. RBA PUBLICACIONES S.L. (RBA) (8) RBA Publicaciones S.L. is a company wholly owned by RBA Holding Editorial, the head of the RBA Group, a family-owned Spanish publishing group that engages in the publishing and marketing of magazines, collectibles, books, and audiovisual content. 1 The RBA Group holds [...] of the share capital of the content producer Órbita max S.D.L., of Estudio Siglo Actual S.A. and of Multimedia LUA, S.L.</w:t>
      </w:r>
    </w:p>
    <w:p>
      <w:r>
        <w:t>DIRECTORATE OF INVESTIGATION III.2. RBA-EDIPRESSE S.L. (9) RBA-EDIPRESSE is a joint venture that arises from the integration of the magazine business in Spain of its parent companies, RBA Group and Edipresse S.A. (10) The acquisition of joint control over RBA-EDIPRESSE was authorized on May 23, 2007, within the framework of the file of the extinct Competition Defense Service N-07041, with the shareholding participation of each of the partners being as follows: RBA [...] and EDIPRESSE [...]. (11) The activities2 carried out by RBA-EDIPRESSE focus on the editing and sale of consumer magazines in Spain and the sale of advertising spaces in them in the following thematic areas: decoration, health, gastronomy, scientific and pseudoscientific dissemination, family, female, satirical, health, travel, history and art, children’s, computing, crafts, motor, and education. IV. ASSESSMENT (12) The concentration operation implies the transition from joint control to exclusive control, so the structure of the different markets affected by the operation does not change as a result of it. (13) In light of the above considerations, it cannot be expected that the concentration operation poses a threat to effective competition in the analyzed markets. V. PROPOSAL In view of all the above and by virtue of Article 57.1 of Law 15/2007, of July 3, on the Defense of Competition, it is proposed to authorize the concentration, in application of Article 57.2.a) of Law 15/2007, of July 3, on the Defense of Competition. Let it be raised to the Council of the National Competition Commission. 2 RBA-EDIPRESSE is also very marginally present in the editing and sale of consumer magazines abroad, in the audiovisual sector through the company MAD Televisión Interactivos, S.A. and in the editing and sale of corporate magazines.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