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https://www.cnmc.es/expedientes/c018909</w:t>
      </w:r>
    </w:p>
    <w:p>
      <w:r>
        <w:t>Pages translated : 3</w:t>
      </w:r>
    </w:p>
    <w:p/>
    <w:p>
      <w:r>
        <w:rPr>
          <w:b/>
        </w:rPr>
        <w:t>[Pages 1–3]</w:t>
      </w:r>
    </w:p>
    <w:p>
      <w:r>
        <w:t xml:space="preserve">NATIONAL COMPETITION  </w:t>
        <w:br/>
        <w:t xml:space="preserve">COMMISSION  </w:t>
        <w:br/>
        <w:t xml:space="preserve">RESOLUTION (File C-0189/09, DOMINION/CIBA)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December 16, 2009.  </w:t>
        <w:br/>
        <w:t xml:space="preserve">Having reviewed the file processed in accordance with Law 15/2007, of July 3, on the Defense of Competition, regarding the acquisition by DOMINION COLOUR CORPORATION of exclusive control over the Indanthrone Blue and Bismuth Vanadate pigment businesses of CIBA HOLDING AG, through respective purchase agreements, (File C/0189/09), and being in agreement with the report and proposal submitted by the Directorate of Investigation, the Council of the National Competition Commission has resolved, pursuant to Article 57.2.a) of the aforementioned Law, to authorize the said concentration operation in the first phase.  </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C/0189/09 DOMINION / CIBA  </w:t>
        <w:br/>
        <w:t xml:space="preserve">I. BACKGROUND  </w:t>
        <w:br/>
        <w:t xml:space="preserve">(1) On December 1, 2009, a notification was received by the National Competition Commission (CNC) regarding the acquisition by Dominion Colour Corporation (hereinafter DOMINION) of exclusive control over the Indanthrone Blue and Bismuth Vanadate pigment businesses of CIBA Holding AG (hereinafter CIBA), through respective purchase agreements.  </w:t>
        <w:br/>
        <w:t xml:space="preserve">(2) The transaction is structured through two Share Purchase Agreements. The purchase agreements for IB and BV were signed on […]1.  </w:t>
        <w:br/>
        <w:t xml:space="preserve">(3) The deadline to decide to initiate the second phase of the procedure is January 2, 2010, inclusive. After this date, the notified transaction will be considered tacitly authorized.  </w:t>
        <w:br/>
        <w:t xml:space="preserve">II. APPLICABILITY OF LAW 15/2007 ON THE DEFENSE OF COMPETITION  </w:t>
        <w:br/>
        <w:t xml:space="preserve">(4) The notified transaction is an economic concentration in the sense of Article 7.1 b) of the LDC.  </w:t>
        <w:br/>
        <w:t xml:space="preserve">(5) The transaction is not of community dimension, as it does not reach the thresholds established in paragraphs 2 and 3 of Article 1 of Council Regulation (EC) No. 139/2004 of January 20, 2004, on the control of concentrations between undertakings.  </w:t>
        <w:br/>
        <w:t xml:space="preserve">(6) The notified transaction meets the requirements set forth by the LDC as it exceeds the threshold established in Article 8.1.a) of the same and complies with the requirements set forth in Article 56.1 a) of the aforementioned regulation.  </w:t>
        <w:br/>
        <w:t xml:space="preserve">III. PARTICIPATING COMPANIES  </w:t>
        <w:br/>
        <w:t xml:space="preserve">(7) DOMINION's main activity is the production and sale of a wide range of organic and inorganic pigments, preparations and dispersions, and anti-corrosive pigments, which are used for paints, dyes, plastics, and inks. DOMINION is present in 75 countries.  </w:t>
        <w:br/>
        <w:t xml:space="preserve">(8) CIBA is controlled by BASF following the concentration operation COMP/M.5355, BASF/CIBA. CIBA is engaged in the manufacture of specialty chemicals, its activities include adhesive products, insulation, inks, paints, coatings, plastics, and rubbers; products for the agricultural, automotive, construction, electronic materials, fibers, lubricants, and fuels industries, technology for the mining industry, packaging, paper, and water treatment. CIBA is present in more than 120 countries.  </w:t>
        <w:br/>
        <w:t>1 Data whose exact content has been declared confidential is indicated in brackets.</w:t>
      </w:r>
    </w:p>
    <w:p>
      <w:r>
        <w:t xml:space="preserve">DIRECTORATE OF INVESTIGATION  </w:t>
        <w:br/>
        <w:t xml:space="preserve">IV. ASSESSMENT  </w:t>
        <w:br/>
        <w:t xml:space="preserve">(9) This Directorate of Investigation considers that the present concentration does not pose a threat to effective competition in the markets, as there is no horizontal or vertical overlap between the parties to the transaction since the acquirer has no presence in the IB pigment market or in the BV market, nor in any of their respective sub-markets.  </w:t>
        <w:br/>
        <w:t xml:space="preserve">V. PROPOSAL  </w:t>
        <w:br/>
        <w:t>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