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https://www.cnmc.es/expedientes/c019109</w:t>
      </w:r>
    </w:p>
    <w:p>
      <w:r>
        <w:t>Pages translated : 6</w:t>
      </w:r>
    </w:p>
    <w:p/>
    <w:p>
      <w:r>
        <w:rPr>
          <w:b/>
        </w:rPr>
        <w:t>[Pages 1–3]</w:t>
      </w:r>
    </w:p>
    <w:p>
      <w:r>
        <w:t xml:space="preserve">NATIONAL COMPETITION COMMISSION  </w:t>
        <w:br/>
        <w:t xml:space="preserve">RESOLUTION (File C-0191/09, HERAEUS/FERRO)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 xml:space="preserve">In Madrid, on December 16, 2009.  </w:t>
        <w:br/>
        <w:t xml:space="preserve">Having reviewed the file processed in accordance with Law 15/2007, of July 3, on the Defense of Competition, regarding the acquisition by W.C. HERAEUS GMBH of the precious metals processing business areas of FERRO CORPORATION (File C/0191/09), and agreeing with the report and proposal submitted by the Research Directorate, the Council of the National Competition Commission has resolved, in application of Article 57.2.a) of the aforementioned Law, to authorize the said concentration operation in the first phase.  </w:t>
        <w:br/>
        <w:t>This Resolution shall be communicated to the Research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RESEARCH DIRECTORATE  </w:t>
        <w:br/>
        <w:t xml:space="preserve">REPORT AND PROPOSAL FOR RESOLUTION  </w:t>
        <w:br/>
        <w:t>FILE C/0191/09 HERAEUS/FERRO</w:t>
      </w:r>
    </w:p>
    <w:p>
      <w:r>
        <w:t>I. BACKGROUND</w:t>
      </w:r>
    </w:p>
    <w:p>
      <w:r>
        <w:t>(1) On December 2, 2009, this Research Directorate received notification of the acquisition by W.C. HERAEUS GmbH (HERAEUS) of the precious metals processing business areas of FERRO CORPORATION (FERRO).</w:t>
      </w:r>
    </w:p>
    <w:p>
      <w:r>
        <w:t>(2) This notification has been made by HERAEUS in accordance with Article 9 of Law 15/2007, of July 3, on the Defense of Competition, for exceeding the threshold established in Article 8.1 a). This operation is subject to the provisions of Royal Decree 261/2008 of February 22, which approves the Competition Defense Regulation.</w:t>
      </w:r>
    </w:p>
    <w:p>
      <w:r>
        <w:t>(3)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(4) Furthermore, Article 38.2 of Law 15/2007 adds: "The expiration of the maximum period established in Article 36.2.a) of this Law for the resolution in the first phase of concentration control shall determine the approval of the corresponding request by administrative silence, except in the cases provided for in Articles 9.5, 55.5, and 57.2.d) of this Law."</w:t>
      </w:r>
    </w:p>
    <w:p>
      <w:r>
        <w:t>(5) According to the above, the deadline to agree to initiate the second phase of the procedure is January 2, 2010, inclusive. After this date, the notified operation shall be considered tacitly authorized.</w:t>
      </w:r>
    </w:p>
    <w:p>
      <w:r>
        <w:t>II. NATURE OF THE OPERATION</w:t>
      </w:r>
    </w:p>
    <w:p>
      <w:r>
        <w:t>(6) The concentration operation consists of the acquisition by W.C. HERAEUS GmbH (HERAEUS) of the precious and special metals processing business areas for decorative use on glass and ceramic objects from Ferro Corporation (FERRO).</w:t>
      </w:r>
    </w:p>
    <w:p>
      <w:r>
        <w:t>(7) To carry out this operation, the parties signed a Letter of Intent on October 12, 2009.</w:t>
      </w:r>
    </w:p>
    <w:p>
      <w:r>
        <w:t>(8) The execution of the operation is conditioned upon its authorization by the competition authorities of Spain, Portugal, and Brazil.</w:t>
      </w:r>
    </w:p>
    <w:p>
      <w:r>
        <w:t>III. APPLICABILITY OF LAW 15/2007 ON THE DEFENSE OF COMPETITION</w:t>
      </w:r>
    </w:p>
    <w:p>
      <w:r>
        <w:t>(9) According to the notifying party, the operation does not fall within the scope of Regulation (EC) No. 139/2004 of the Council, of January 20, on the control of concentrations between companies.</w:t>
      </w:r>
    </w:p>
    <w:p>
      <w:r>
        <w:t>(10) The notified operation, however, meets the requirements set forth by Law 15/2007 for its notification, as it exceeds the threshold established in Article 8.1a) thereof.</w:t>
      </w:r>
    </w:p>
    <w:p>
      <w:r>
        <w:t>IV. PARTICIPATING COMPANIES</w:t>
      </w:r>
    </w:p>
    <w:p>
      <w:r>
        <w:t>IV.1. W.C. HERAEUS GmbH (HEREAUS)</w:t>
      </w:r>
    </w:p>
    <w:p>
      <w:r>
        <w:t>(11) W.C. Heraeus GmbH is a subsidiary company of the HERAEUS group with its registered office in Hanau (Germany). Its main economic activity is the production and distribution of processed precious metals and special metals such as gold, silver, platinum, iridium, etc., for use in multiple economic sectors.</w:t>
      </w:r>
    </w:p>
    <w:p>
      <w:r>
        <w:t>(12) The HERAEUS group has other business areas such as those dedicated to the production and commercialization of dental materials, medical materials (bone cement and biomaterials), quartz crystals, and infrared and ultraviolet applications for high-tech applications. In addition to these activities, the Heraeus group is engaged in the buying and selling of gold and other precious metals, being one of the most lucrative activities of the group.</w:t>
      </w:r>
    </w:p>
    <w:p>
      <w:r>
        <w:t xml:space="preserve">(13) The turnover of the HERAEUS Group in the last financial year, according to Art. 5 of R.D. 261/2008, is, according to the notifying party, as follows:  </w:t>
        <w:br/>
        <w:t xml:space="preserve">HERAEUS GROUP TURNOVER IN 2008  </w:t>
        <w:br/>
        <w:t xml:space="preserve">(millions of euros)  </w:t>
        <w:br/>
        <w:t xml:space="preserve">GLOBAL EU SPAIN  </w:t>
        <w:br/>
        <w:t xml:space="preserve">&gt;2,500 &gt;250 &gt;60  </w:t>
        <w:br/>
        <w:t>Source: Notification</w:t>
      </w:r>
    </w:p>
    <w:p>
      <w:r>
        <w:t>IV.2. FERRO CORPORATION (FERRO)</w:t>
      </w:r>
    </w:p>
    <w:p>
      <w:r>
        <w:t>(14) Ferro Corporation is a company based in Cleveland, Ohio (USA), whose main economic activity is the manufacture and distribution of a wide range of products: i) pigments, glazes, pastes, and additives ii) pharmaceutical ingredients iii) special plastics iv) electronic crystals, and v) coatings for ceramics.</w:t>
      </w:r>
    </w:p>
    <w:p>
      <w:r>
        <w:t>(15) Currently, FERRO is the largest global supplier of decorative pigments for the tile industry.</w:t>
      </w:r>
    </w:p>
    <w:p>
      <w:r>
        <w:t xml:space="preserve">(16) The turnover of the Ferro Corporation business unit affected by this economic operation in the last financial year, according to Art. 5 of R.D. 261/2008, is, according to the notifying party, as follows:  </w:t>
        <w:br/>
        <w:t xml:space="preserve">TURNOVER OF THE PRECIOUS METALS PROCESSING BUSINESS UNIT OF FERRO IN 2008  </w:t>
        <w:br/>
        <w:t xml:space="preserve">(thousands of euros)  </w:t>
        <w:br/>
        <w:t xml:space="preserve">GLOBAL EU SPAIN  </w:t>
        <w:br/>
        <w:t xml:space="preserve">&lt;2,500 &lt;250 &lt;60  </w:t>
        <w:br/>
        <w:t>Source: Notification</w:t>
      </w:r>
    </w:p>
    <w:p>
      <w:r>
        <w:rPr>
          <w:b/>
        </w:rPr>
        <w:t>[Pages 4–6]</w:t>
      </w:r>
    </w:p>
    <w:p>
      <w:r>
        <w:t>INVESTIGATION DIRECTORATE</w:t>
      </w:r>
    </w:p>
    <w:p>
      <w:r>
        <w:t>V. RELEVANT MARKETS</w:t>
      </w:r>
    </w:p>
    <w:p>
      <w:r>
        <w:t>V.1 Product Markets</w:t>
      </w:r>
    </w:p>
    <w:p>
      <w:r>
        <w:t>(17) The operation affects the activity of manufacturing and marketing processed precious metals (gold, silver, platinum) and special metals (iridium) for decorative use on glass and ceramic objects.</w:t>
      </w:r>
    </w:p>
    <w:p>
      <w:r>
        <w:t>(18) The processed materials are intermediate goods presented in the form of sheets, sprays, liquids, and viscous preparations. The techniques used for their application include direct printing, thermoplastic printing using heat, painting, and profiling.</w:t>
      </w:r>
    </w:p>
    <w:p>
      <w:r>
        <w:t>(19) There are no national or community precedents that allow for the delineation of the product market. The notifying party indicates that a product market can be distinguished in the case of processed precious metals for use in decoration, distinct from processed precious metals intended for applications in the field of health (prosthetics) and telecommunications.</w:t>
      </w:r>
    </w:p>
    <w:p>
      <w:r>
        <w:t>(20) Consequently, and given that the assessment of the present operation is not affected by the definition adopted, it will be considered that the relevant market affected by the operation is that of processed precious metals and other special metals for decorative use.</w:t>
      </w:r>
    </w:p>
    <w:p>
      <w:r>
        <w:t>V.2 Geographical Markets</w:t>
      </w:r>
    </w:p>
    <w:p>
      <w:r>
        <w:t>(21) The notifying party indicates that the relevant geographical market is of national dimension, for the following reasons: i) differences in tastes from one country to another, ii) differences in prices between countries, iii) the degree of specialization of the industrial activity of each country, and iv) the artisanal nature of the production of the final goods for which processed precious metals are used.</w:t>
      </w:r>
    </w:p>
    <w:p>
      <w:r>
        <w:t>(22) Given that the assessment of the present operation is not affected by the definition adopted, it will be considered that the relevant geographical market affected by the operation is of national dimension.</w:t>
      </w:r>
    </w:p>
    <w:p>
      <w:r>
        <w:t>VI. MARKET ANALYSIS</w:t>
      </w:r>
    </w:p>
    <w:p>
      <w:r>
        <w:t>VI.1. Supply Structure</w:t>
      </w:r>
    </w:p>
    <w:p>
      <w:r>
        <w:t>(23) The market for processed precious metals in Spain shows business figures […]¹, as it is an intermediate good for the manufacture of objects intended for the luxury market, with reduced demand.</w:t>
      </w:r>
    </w:p>
    <w:p>
      <w:r>
        <w:t>(24) Six (6) relevant companies operate in this product market in Spain: Johnson Matthey, Colorobbia, Torrecid, Brendle, HERAEUS, and FERRO. Both Torrecid and Brendle have production workshops in Spain, while the other companies have subsidiaries dedicated exclusively to the marketing of their products, as is the case with HERAEUS and FERRO.</w:t>
      </w:r>
    </w:p>
    <w:p>
      <w:r>
        <w:t>(25) The respective market share of each company in Spain is distributed as follows:</w:t>
        <w:br/>
        <w:t>¹ The bracket replaces the information declared confidential</w:t>
      </w:r>
    </w:p>
    <w:p>
      <w:r>
        <w:t>INVESTIGATION DIRECTORATE</w:t>
      </w:r>
    </w:p>
    <w:p>
      <w:r>
        <w:t>MARKET SHARES OF PROCESSED PRECIOUS METALS FOR DECORATIVE USE IN SPAIN IN 2008</w:t>
        <w:br/>
        <w:t>(thousands of euros)</w:t>
        <w:br/>
        <w:t>COMPANY SHARE %</w:t>
        <w:br/>
        <w:t>JOHNSON MATTHEY [10-30]</w:t>
        <w:br/>
        <w:t>COLOROBBIA [10-20]</w:t>
        <w:br/>
        <w:t>FERRO [10-20]</w:t>
        <w:br/>
        <w:t>HERAEUS [10-20]</w:t>
        <w:br/>
        <w:t>TORRECID [0-10]</w:t>
        <w:br/>
        <w:t>BRENDLE [0-10]</w:t>
        <w:br/>
        <w:t>OTHERS [0-10]</w:t>
        <w:br/>
        <w:t>Source: Notifying party.</w:t>
      </w:r>
    </w:p>
    <w:p>
      <w:r>
        <w:t>(26) All offering companies in this market manufacture, in addition to processed precious metals, other products used in decoration such as pigments, colors, and auxiliaries.</w:t>
      </w:r>
    </w:p>
    <w:p>
      <w:r>
        <w:t>(27) The main factors determining production costs are the price of precious metals and transportation.</w:t>
      </w:r>
    </w:p>
    <w:p>
      <w:r>
        <w:t>(28) The sources of supply for the raw material (precious metals) are located outside of Spain, and it is a transparent market where prices are reflected in daily quotations.</w:t>
      </w:r>
    </w:p>
    <w:p>
      <w:r>
        <w:t>VI.2. Demand Structure, Distribution, and Prices</w:t>
      </w:r>
    </w:p>
    <w:p>
      <w:r>
        <w:t>(29) The main customers of processed precious metals are manufacturers of glass and ceramic objects, who use them in the decoration of their products.</w:t>
      </w:r>
    </w:p>
    <w:p>
      <w:r>
        <w:t>(30) The notifying party indicates that one of the current characteristics of demand is that customers have been losing loyalty to certain brands/manufacturers and that their purchasing decisions are based solely on price.</w:t>
      </w:r>
    </w:p>
    <w:p>
      <w:r>
        <w:t>(31) The companies demanding these products are medium-sized companies that manufacture and offer a varied range of decorative and gift items, in a segment of luxury goods. The main companies in Spain in this sector are according to the notifying party […].</w:t>
      </w:r>
    </w:p>
    <w:p>
      <w:r>
        <w:t>(32) Sales of these products are made directly from manufacturers or through marketing subsidiaries that the main manufacturers have in Spain, as is the case with FERRO, Johnson Matthey, HERAEUS, and Colorobbia.</w:t>
      </w:r>
    </w:p>
    <w:p>
      <w:r>
        <w:t>(33) The prices of prepared precious metals are set per kilogram of product. The notifying party indicates that the average price in Spain is around […] euros/kg.</w:t>
      </w:r>
    </w:p>
    <w:p>
      <w:r>
        <w:t>VI.3. Potential Competition - Barriers to Entry</w:t>
      </w:r>
    </w:p>
    <w:p>
      <w:r>
        <w:t>(34) The notifying party indicates that there are no significant barriers to entry in this market: the sources of supply for raw materials are open to all; there is little brand weight, no relevant industrial property rights (patents), and no legal or administrative barriers to operate.</w:t>
      </w:r>
    </w:p>
    <w:p>
      <w:r>
        <w:t>(35) Spain is a net exporter of these products, with sales abroad amounting to 5.15 million euros in 2008 compared to imports of 4.876 million euros. The main trading partners were both Germany (main importer) and Italy (main exporter).</w:t>
      </w:r>
    </w:p>
    <w:p>
      <w:r>
        <w:t>VII. ASSESSMENT OF THE OPERATION</w:t>
      </w:r>
    </w:p>
    <w:p>
      <w:r>
        <w:t>(36) The present operation consists of the acquisition by W.C. HERAEUS GmbH of the business areas of processed precious and special metals for decorative use on glass and ceramic objects from Ferro Corporation.</w:t>
      </w:r>
    </w:p>
    <w:p>
      <w:r>
        <w:t>(37) The total business volume of the reference market in Spain is very small ([…] euros in 2008) and very focused on a segment of luxury items for high purchasing power clients.</w:t>
      </w:r>
    </w:p>
    <w:p>
      <w:r>
        <w:t>(38) The resulting market share amounts to [30-40%] (addition of [10-20%]), resulting in a certain modification of the supply structure in the reference market. However, four companies with significant shares in the national market remain: Johnson Matthey [20-30%], Colorobbia [20-30%], Torrecid [0-10%], and Brendle [0-10%]. Additionally, the parties do not manufacture their products in Spain, resulting in no vertical overlap affecting the Spanish market.</w:t>
      </w:r>
    </w:p>
    <w:p>
      <w:r>
        <w:t>(39) Taking all of the above into account, it is not expected that the operation will pose a threat to competition in the relevant market, and therefore it is susceptible to being approved in the first phase without commitments.</w:t>
      </w:r>
    </w:p>
    <w:p>
      <w:r>
        <w:t>VIII. PROPOSAL</w:t>
      </w:r>
    </w:p>
    <w:p>
      <w:r>
        <w:t>(40) In light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