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https://www.cnmc.es/expedientes/c019209</w:t>
      </w:r>
    </w:p>
    <w:p>
      <w:r>
        <w:t>Pages translated : 7</w:t>
      </w:r>
    </w:p>
    <w:p/>
    <w:p>
      <w:r>
        <w:rPr>
          <w:b/>
        </w:rPr>
        <w:t>[Pages 1–3]</w:t>
      </w:r>
    </w:p>
    <w:p>
      <w:r>
        <w:t xml:space="preserve">NATIONAL COMMISSION  </w:t>
        <w:br/>
        <w:t xml:space="preserve">FOR COMPETITION  </w:t>
        <w:br/>
        <w:t xml:space="preserve">RESOLUTION (File C-0192/09, BARCO/FIMI)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December 16, 2009.  </w:t>
        <w:br/>
        <w:t xml:space="preserve">Having reviewed the file processed in accordance with Law 15/2007, of July 3, on the Defense of Competition, regarding the acquisition by the company BARCO N.V. of all the shares constituting the share capital of the Italian subsidiary of the Philips group, Fabbrica Italiana Material Isolanti S.r.L. (FIMI). (File C/0192/09), and being in agreement with the report and proposal submitted by the Investigation Directorate, the Council of the National Commission for Competition has resolved, pursuant to Article 57.2.a) of the aforementioned Law, to authorize the said concentration operation in the first phase.  </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C/0192/09 BARCO/FIMI  </w:t>
        <w:br/>
        <w:t xml:space="preserve">I. BACKGROUND  </w:t>
        <w:br/>
        <w:t xml:space="preserve">(1) On December 3, 2009, this Investigation Directorate received notification of the acquisition by the company BARCO N.V. of all the shares constituting the share capital of the Italian subsidiary of the Philips group, Fabbrica Italiana Materiali Isolanti S.r.L (FIMI).  </w:t>
        <w:br/>
        <w:t xml:space="preserve">(2) This notification was made by the acquirer, BARCO N.V., in accordance with Article 9 of Law 15/2007, of July 3, on the Defense of Competition, for exceeding the threshold established in Article 8.1 a). This operation is subject to the provisions of Royal Decree 261/2008 of February 22, which approves the Competition Defense Regulation.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  </w:t>
        <w:br/>
        <w:t xml:space="preserve">(5) According to the above, the deadline to agree to initiate the second phase of the procedure is January 4, 2010, inclusive. After this date, the notified operation will be considered tacitly authorized.  </w:t>
        <w:br/>
        <w:t xml:space="preserve">II. NATURE OF THE OPERATION  </w:t>
        <w:br/>
        <w:t xml:space="preserve">(6) The concentration operation consists of the acquisition by the company BARCO of all the shares constituting the share capital of FIMI through a share purchase agreement signed on […]1.  </w:t>
        <w:br/>
        <w:t xml:space="preserve">(7) Under the terms of the said contract, BARCO acquires 100% of the share capital of FIMI for a value of […] euros, […].  </w:t>
        <w:br/>
        <w:t xml:space="preserve">(8) The execution of the operation is conditioned upon its authorization by the competition authorities of Spain and Brazil.  </w:t>
        <w:br/>
        <w:t xml:space="preserve">III. APPLICABILITY OF LAW 15/2007 ON THE DEFENSE OF COMPETITION  </w:t>
        <w:br/>
        <w:t xml:space="preserve">(9) According to the notifying party, the operation does not fall within the scope of Regulation (EC) No. 139/2004 of the Council, of January 20, on the control of concentrations between undertakings.  </w:t>
        <w:br/>
        <w:t xml:space="preserve">1 Confidential information is indicated in brackets.  </w:t>
        <w:br/>
        <w:t>1</w:t>
      </w:r>
    </w:p>
    <w:p>
      <w:r>
        <w:t xml:space="preserve">INVESTIGATION DIRECTORATE  </w:t>
        <w:br/>
        <w:t xml:space="preserve">(10) The notified operation, however, meets the requirements set forth by Law 15/2007 for its notification, as it exceeds the threshold established in Article 8.1a) thereof.  </w:t>
        <w:br/>
        <w:t xml:space="preserve">IV. PARTICIPATING COMPANIES  </w:t>
        <w:br/>
        <w:t xml:space="preserve">IV.1. BARCO N.V. (BARCO)  </w:t>
        <w:br/>
        <w:t xml:space="preserve">(11) BARCO is a public limited company domiciled in the city of Kortrijk (Belgium) and listed on the Brussels Stock Exchange. Its corporate purpose is primarily the design, development, manufacturing, assembly, sale, and installation of technological products and systems. The main products it manufactures and distributes are: screens for various uses, projectors, lighting products, servers and workstations, and image processing systems.  </w:t>
        <w:br/>
        <w:t xml:space="preserve">(12) The sectors in which BARCO operates through its various business areas are telecommunications (broadcast visualization), transportation (air traffic control), defense (simulators), and health (screens for medical use primarily).  </w:t>
        <w:br/>
        <w:t xml:space="preserve">(13) In Spain, BARCO has a subsidiary, "BARCO ESPAÑA," whose activity is the promotion of the parent company's products among end customers (hospitals and medical centers), as well as the management of the distributor network.  </w:t>
        <w:br/>
        <w:t xml:space="preserve">(14) The turnover of BARCO in the last financial year, according to Article 5 of Royal Decree 261/2008, is, according to the notifying party, as follows:  </w:t>
        <w:br/>
        <w:t xml:space="preserve">BARCO'S TURNOVER IN 2008  </w:t>
        <w:br/>
        <w:t xml:space="preserve">(millions of euros)  </w:t>
        <w:br/>
        <w:t xml:space="preserve">GLOBAL EU SPAIN  </w:t>
        <w:br/>
        <w:t xml:space="preserve">&lt;2,500 &lt;250 &lt;60  </w:t>
        <w:br/>
        <w:t xml:space="preserve">Source: Notification  </w:t>
        <w:br/>
        <w:t xml:space="preserve">IV.2. FABBRICA ITALIANA DE MATERIALI ISOLANTI S.r.L. (FIMI)  </w:t>
        <w:br/>
        <w:t xml:space="preserve">(15) FIMI is a subsidiary of the Dutch group Philips, headquartered in Milan (Italy), with its main economic activity being the manufacture of medical instruments and supplies: simple screens, screens for endoscopic and surgical use, patient monitoring screens, and mobile medical devices.  </w:t>
        <w:br/>
        <w:t xml:space="preserve">(16) FIMI has a very limited commercial presence in Spain and has conducted its activities in commercial operations linked to […].  </w:t>
        <w:br/>
        <w:t xml:space="preserve">(17) The turnover of FIMI in the last financial year, according to Article 5 of Royal Decree 261/2008, is, according to the notifying party, as follows:  </w:t>
        <w:br/>
        <w:t xml:space="preserve">FIMI'S TURNOVER IN 2008  </w:t>
        <w:br/>
        <w:t xml:space="preserve">(millions of euros)  </w:t>
        <w:br/>
        <w:t xml:space="preserve">GLOBAL EU SPAIN  </w:t>
        <w:br/>
        <w:t xml:space="preserve">&lt;2,500 &gt;250 &lt;60  </w:t>
        <w:br/>
        <w:t xml:space="preserve">Source: Notification  </w:t>
        <w:br/>
        <w:t>2</w:t>
      </w:r>
    </w:p>
    <w:p>
      <w:r>
        <w:rPr>
          <w:b/>
        </w:rPr>
        <w:t>[Pages 4–6]</w:t>
      </w:r>
    </w:p>
    <w:p>
      <w:r>
        <w:t xml:space="preserve">INVESTIGATION DIRECTORATE  </w:t>
        <w:br/>
        <w:t xml:space="preserve">V. RELEVANT MARKETS  </w:t>
        <w:br/>
        <w:t xml:space="preserve">V.1 Product Markets  </w:t>
        <w:br/>
        <w:t xml:space="preserve">(18) The notifying party does not identify any national or community precedents in relation to this product market, and has therefore proceeded with a market segmentation from a broader macro-segment, that of medical-use screens, within which the following product markets are distinguished: i) image capture screens, ii) surgical and endoscopy use screens, iii) patient monitoring screens, iv) diagnostic screens, and v) clinical review screens.  </w:t>
        <w:br/>
        <w:t xml:space="preserve">(19) Diagnostic screens are high-resolution monitors used in combination with a PACS (Picture Archiving and Communications Systems) workstation for the diagnosis of radiological images in hospital centers.  </w:t>
        <w:br/>
        <w:t xml:space="preserve">(20) The notifying party points out that diagnostic screens and review screens, which are used to review images after making a diagnosis, have identical functions and are, in fact, part of the same market segment, the only one in which FIMI has presence and activity in Spain.  </w:t>
        <w:br/>
        <w:t xml:space="preserve">(21) And since the assessment of the present operation is not altered by the definition adopted, the relevant product market will be considered as indicated by the notifying party, "medical diagnostic screens," including clinical review screens, without the need for further segmentation.  </w:t>
        <w:br/>
        <w:t xml:space="preserve">V.2 Geographic Markets  </w:t>
        <w:br/>
        <w:t xml:space="preserve">(22) The notifying party indicates that the relevant geographic scope of the market for image capture screens for medical diagnosis would be, at least, of community dimension. The European Commission concluded that the market for medical-use screens was of community dimension as the main suppliers of these products are large international companies.  </w:t>
        <w:br/>
        <w:t xml:space="preserve">(23) The notifying party shares the same view as the Commission and considers the relevant market to be of European dimension in the case of medical-use screens, although it clarifies that this definition could be left open in the particular case of diagnostic screens.  </w:t>
        <w:br/>
        <w:t xml:space="preserve">(24) However, there are factors that could lead to considering the relevant geographic market for diagnostic screens as national: i) different regulations for these products in each country, ii) the different economic/budgetary situation of each state (public funding of hospital investment budgets), iii) the population, iv) the distribution network, and v) marketing as a final good.  </w:t>
        <w:br/>
        <w:t xml:space="preserve">INVESTIGATION DIRECTORATE  </w:t>
        <w:br/>
        <w:t xml:space="preserve">In light of all the above, and since the assessment of the present operation is not altered by the definition adopted, both the European market and the national market for medical diagnostic screens will be analyzed.  </w:t>
        <w:br/>
        <w:t xml:space="preserve">VI. MARKET ANALYSIS  </w:t>
        <w:br/>
        <w:t xml:space="preserve">VI.1. Supply Structure  </w:t>
        <w:br/>
        <w:t xml:space="preserve">(25) The market for diagnostic screens is characterized by constant innovation and technical improvements (preference for color screens, higher image resolution, and three-dimensional presentation) that manufacturers are introducing into their products.  </w:t>
        <w:br/>
        <w:t xml:space="preserve">(26) In Europe, it is a highly concentrated market, in which three (3) producers control [60-70%] of the market. These three producers are BARCO, Eizo, and NEC Electronics. In Spain, along with the notifying party (BARCO), three (3) other major leading companies in the medical diagnostic screen sector operate, such as Eizo, Totoku, and NEC Electronics, with a combined market share of [90-100%].  </w:t>
        <w:br/>
        <w:t xml:space="preserve">(27) With the exception of BARCO and Eizo, which have their own subsidiaries in Spain, the other two major companies operate in the Spanish market through national distributors that are responsible for marketing their products.  </w:t>
        <w:br/>
        <w:t xml:space="preserve">(28) The notifying party provides its own market shares and those of its competitors in the medical diagnostic screen market based on internal data and a report prepared by the consulting firm Frost &amp; Sullivan in 2007:  </w:t>
        <w:br/>
        <w:t xml:space="preserve">EUROPEAN MARKET FOR MEDICAL DIAGNOSTIC SCREENS  </w:t>
        <w:br/>
        <w:t xml:space="preserve">2007  </w:t>
        <w:br/>
        <w:t xml:space="preserve">COMPANY Revenue  </w:t>
        <w:br/>
        <w:t xml:space="preserve">Market Share %  </w:t>
        <w:br/>
        <w:t xml:space="preserve">(Millions of euros)  </w:t>
        <w:br/>
        <w:t xml:space="preserve">BARCO […] [30-40]  </w:t>
        <w:br/>
        <w:t xml:space="preserve">EIZO […] [10-20]  </w:t>
        <w:br/>
        <w:t xml:space="preserve">NEC ELECTRONICS […] [10-20]  </w:t>
        <w:br/>
        <w:t xml:space="preserve">OTHERS (FIMI4, Totoku and  </w:t>
        <w:br/>
        <w:t xml:space="preserve">[…] [30-40]  </w:t>
        <w:br/>
        <w:t xml:space="preserve">Planar)  </w:t>
        <w:br/>
        <w:t xml:space="preserve">Source: Consulting firm Frost &amp; Sullivan  </w:t>
        <w:br/>
        <w:t xml:space="preserve">3 European Market for Medical Imaging Display, 2007  </w:t>
        <w:br/>
        <w:t xml:space="preserve">4 According to the notifying party, FIMI's European share is &lt;10%  </w:t>
        <w:br/>
        <w:t xml:space="preserve">INVESTIGATION DIRECTORATE  </w:t>
        <w:br/>
        <w:t xml:space="preserve">SPANISH MARKET FOR MEDICAL DIAGNOSTIC SCREENS  </w:t>
        <w:br/>
        <w:t xml:space="preserve">(Thousands of euros)  </w:t>
        <w:br/>
        <w:t xml:space="preserve">Company 2006 2007 2008  </w:t>
        <w:br/>
        <w:t xml:space="preserve">Revenue Market Share % Revenue Market Share % Revenue Market Share %  </w:t>
        <w:br/>
        <w:t xml:space="preserve">BARCO […] [10-20] […] [60-70] […] [40-50]  </w:t>
        <w:br/>
        <w:t xml:space="preserve">EIZO […] [30-40] […] [10-20] […] [20-30]  </w:t>
        <w:br/>
        <w:t xml:space="preserve">TOTOKU […] [20-30] […] [0-10] […] [10-20]  </w:t>
        <w:br/>
        <w:t xml:space="preserve">NEC […] - […] [0-10] […] [10-20]  </w:t>
        <w:br/>
        <w:t xml:space="preserve">FIMI […] - […] [0-10] […] [0-10]  </w:t>
        <w:br/>
        <w:t xml:space="preserve">OTHERS […] [20-30] […] [0-10] […] [0-10]  </w:t>
        <w:br/>
        <w:t xml:space="preserve">Source: Notifying party.  </w:t>
        <w:br/>
        <w:t xml:space="preserve">(29) Some common features of the companies operating in the medical-use screen market are: i) continuous technical evolution, ii) innovative pressure from competitors to design new and better products, iii) national differences in regulatory frameworks, as well as iv) temporal saturation of the reference market.  </w:t>
        <w:br/>
        <w:t xml:space="preserve">VI.2. Demand Structure, Distribution, and Prices  </w:t>
        <w:br/>
        <w:t xml:space="preserve">(30) In Europe, almost all demand for medical diagnostic screens comes from the end users of this equipment, which are large hospitals (preferably university hospitals) equipped with PACS (Picture Archiving and Communications Systems) workstations, without which diagnostic screens are not operational.  </w:t>
        <w:br/>
        <w:t xml:space="preserve">(31) So far, smaller hospitals are excluded from the customer portfolios, as they lack PACS stations. However, the installation of this type of workstation in those hospitals is redirecting the commercial strategy of the sector, considering it a high-growth niche in the coming years.  </w:t>
        <w:br/>
        <w:t xml:space="preserve">(32) In addition to the expansion of PACS stations to smaller hospitals, there are other factors that will drive demand for these products according to the notifying party: more favorable regulation for the sector (a more demanding regulatory definition from a technical standpoint), increased demand from radiologists for high-end diagnostic screens (which favors large manufacturers), an expansion of the use of PACS stations to other hospital areas outside of radiology departments, and improvements in software applied to image processing.  </w:t>
        <w:br/>
        <w:t xml:space="preserve">(33) Generally, most hospitals tend to purchase diagnostic screens from the same vendor that supplies them with PACS stations, and very rarely from the screen manufacturers themselves.  </w:t>
        <w:br/>
        <w:t>(34) Regarding the average selling prices of each diagnostic screen, these were around […] for single-head screens, while double-head screens reached an average price of […].</w:t>
      </w:r>
    </w:p>
    <w:p>
      <w:r>
        <w:rPr>
          <w:b/>
        </w:rPr>
        <w:t>[Pages 7–7]</w:t>
      </w:r>
    </w:p>
    <w:p>
      <w:r>
        <w:t xml:space="preserve">INVESTIGATION DIRECTORATE  </w:t>
        <w:br/>
        <w:t xml:space="preserve">VI.3. Potential Competition - Barriers to Entry  </w:t>
        <w:br/>
        <w:t xml:space="preserve">(35) The notifying party indicates that there are no significant barriers to entry in the relevant market. This assertion is corroborated by the report from the consulting firm Frost &amp; Sullivan, which notes the decrease experienced in the selling prices of diagnostic screens due to the entry of new companies into the market in recent years.  </w:t>
        <w:br/>
        <w:t>(36) According to the same consulting firm, the sector expects the entry of low-cost manufacturers (Asian producers) in the coming years, who will enter the market using price as a variable to capture market share.</w:t>
      </w:r>
    </w:p>
    <w:p>
      <w:r>
        <w:t xml:space="preserve">VII. ASSESSMENT OF THE OPERATION  </w:t>
        <w:br/>
        <w:t xml:space="preserve">(37) The concentration operation consists of the acquisition by the company BARCO of all the shares constituting the share capital of FIMI through a share purchase agreement signed on [...].  </w:t>
        <w:br/>
        <w:t xml:space="preserve">(38) The operation takes place in the relevant market of medical diagnostic screens (including clinical review screens). Although there is horizontal overlap of activities in this market and the acquirer's market share is high in the relevant market in Spain [50-60%] in 2008, the operation would only marginally reinforce its position through the purchase of FIMI (addition of [0-10%]).  </w:t>
        <w:br/>
        <w:t xml:space="preserve">(39) According to the report from the consulting firm Frost &amp; Sullivan, this is a market with low revenue volume ([...] euros in 2007 in Europe), with competition among the main companies in the sector being very intense, both due to the degree of innovation and the strong presence of distributor networks, to which should be added a relatively significant bargaining power of end customers (preferably hospitals) and the possible emergence of new low-cost entrants.  </w:t>
        <w:br/>
        <w:t xml:space="preserve">(40) Precisely the importance of innovation is reflected in the high volatility of market shares of operators, as in the case of the acquirer itself, whose share in Spain went from [10-20%] in 2006 to [50-60%] in 2007, returning to [50-60%] in 2008. Additionally, this is a market with few barriers to entry where new operators have recently entered and where the entry of low-cost manufacturers (Asian producers) is expected in the coming years.  </w:t>
        <w:br/>
        <w:t>(41) Taking all of the above into account, it cannot be expected that the operation poses a threat to competition in the relevant market, and therefore it is susceptible to being approved in the first phase without commitments.</w:t>
      </w:r>
    </w:p>
    <w:p>
      <w:r>
        <w:t xml:space="preserve">VIII. PROPOSAL  </w:t>
        <w:br/>
        <w:t xml:space="preserve">In light of all the above and by virtue of Article 57.1 of Law 15/2007, of July 3, on the Defense of Competition, it is proposed to authorize the concentration, in application of Article 57.2.a) of Law 15/2007, of July 3, on the Defense of Competition.  </w:t>
        <w:br/>
        <w:t>Let it be raised to the Council of the 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