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https://www.cnmc.es/expedientes/c019709</w:t>
      </w:r>
    </w:p>
    <w:p>
      <w:r>
        <w:t>Pages translated : 8</w:t>
      </w:r>
    </w:p>
    <w:p/>
    <w:p>
      <w:r>
        <w:rPr>
          <w:b/>
        </w:rPr>
        <w:t>[Pages 1–3]</w:t>
      </w:r>
    </w:p>
    <w:p>
      <w:r>
        <w:t>NATIONAL COMMISSION</w:t>
        <w:br/>
        <w:t>FOR COMPETITION</w:t>
        <w:br/>
        <w:t>RESOLUTION (File C-0197/09, FERRO/HERAEUS)</w:t>
        <w:br/>
        <w:t>COUNCIL</w:t>
        <w:br/>
        <w:t>Mr. Luis Berenguer Fuster, President</w:t>
        <w:br/>
        <w:t>Mr. Fernando Torremocha García-Sáenz, Vice President</w:t>
        <w:br/>
        <w:t>Mr. Emilio Conde Fernández-Oliva, Councilor</w:t>
        <w:br/>
        <w:t>Mr. Miguel Cuerdo Mir, Councilor</w:t>
        <w:br/>
        <w:t>Mr. Julio Costas Comesaña, Councilor</w:t>
        <w:br/>
        <w:t>Ms. Mª Jesús González López, Councilor</w:t>
        <w:br/>
        <w:t>Ms. Inmaculada Gutiérrez Carrizo, Councilor</w:t>
        <w:br/>
        <w:t>In Madrid, on December 28, 2009.</w:t>
        <w:br/>
        <w:t>Having reviewed the file processed in accordance with Law 15/2007, of July 3, on the Defense of Competition, regarding the acquisition by FERRO CORPORATION of the business areas for the production and marketing of colors and auxiliaries for use in the glass and ceramic products industry from W.C. HERAEUS GMBH (File C/0197/09), and agreeing with the report and proposal submitted by the Investigation Directorate, the Council of the National Commission for Competition has resolved, in application of Article 57.2.a) of the aforementioned Law, to authorize the said concentration operation in the first phase.</w:t>
        <w:br/>
        <w:t>This Resolution shall be communicated to the Investigation Directorate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w:t>
        <w:br/>
        <w:t>REPORT AND PROPOSED RESOLUTION</w:t>
        <w:br/>
        <w:t>FILE C/0197/09 FERRO/HERAEUS</w:t>
        <w:br/>
        <w:t>I. BACKGROUND</w:t>
        <w:br/>
        <w:t>(1) On December 7, 2009, this Investigation Directorate received notification of the acquisition by FERRO CORPORATION (FERRO) of the business areas for the production and marketing of colors and auxiliaries for use in the glass and ceramic products industry from W.C. HERAEUS GmbH (HERAEUS).</w:t>
        <w:br/>
        <w:t>(2) This notification was made by FERRO in accordance with Article 9 of Law 15/2007, of July 3, on the Defense of Competition, as it exceeds the threshold established in Article 8.1 a). This operation is subject to the provisions of Royal Decree 261/2008 of February 22, which approves the Defense Regulation of Competition.</w:t>
        <w:br/>
        <w:t>(3) Article 57.2.c) of Law 15/2007 establishes that the Council of the National Commission for Competition shall issue a resolution in the first phase in which it may decide to initiate the second phase of the procedure when it considers that the concentration may hinder the maintenance of effective competition in all or part of the national market.</w:t>
        <w:br/>
        <w:t>(4) Furthermore, Article 38.2 of Law 15/2007 adds: "The expiration of the maximum period established in Article 36.2.a) of this Law for the resolution in the first phase of concentration control shall determine the approval of the corresponding request by administrative silence, except in the cases provided for in Articles 9.5, 55.5, and 57.2.d) of this Law."</w:t>
        <w:br/>
        <w:t>(5) According to the above, the deadline to decide to initiate the second phase of the procedure is January 7, 2010, inclusive. After this date, the notified operation will be considered tacitly authorized.</w:t>
        <w:br/>
        <w:t>II. NATURE OF THE OPERATION</w:t>
        <w:br/>
        <w:t>(6) The concentration operation consists of the acquisition by FERRO CORPORATION (FERRO) of the business units for the production and marketing of colors and auxiliaries for use in the glass and ceramic products industry from W.C. HERAEUS GmbH (HERAEUS).</w:t>
        <w:br/>
        <w:t>(7) To carry out this operation, the parties signed a Letter of Intent on October 12, 2009.</w:t>
        <w:br/>
        <w:t>(8) The execution of the operation is conditioned upon its authorization by the competition authorities of Spain, Portugal, and Brazil.</w:t>
      </w:r>
    </w:p>
    <w:p>
      <w:r>
        <w:t>DIRECTORATE OF INVESTIGATION</w:t>
        <w:br/>
        <w:t>III. APPLICABILITY OF LAW 15/2007 ON THE DEFENSE OF COMPETITION</w:t>
        <w:br/>
        <w:t>(10) According to the notifying party, the operation does not fall within the scope of application of Council Regulation (EC) No 139/2004 of January 20, on the control of concentrations between undertakings.</w:t>
        <w:br/>
        <w:t>(11) However, the notified operation meets the requirements set forth by Law 15/2007 for its notification, as it exceeds the threshold established in Article 8.1a) thereof.</w:t>
        <w:br/>
        <w:t>IV. PARTICIPATING COMPANIES</w:t>
        <w:br/>
        <w:t>IV.1. FERRO CORPORATION (FERRO)</w:t>
        <w:br/>
        <w:t>(12) FERRO is a company based in Cleveland, Ohio (USA), whose main economic activity is the manufacture and distribution of a wide range of products: i) pigments, enamels, pastes, and additives ii) pharmaceutical ingredients iii) specialty plastics iv) electronic crystals, and v) coatings for ceramics.</w:t>
        <w:br/>
        <w:t>(13) Currently, FERRO is the largest global supplier of decorative pigments for the tile industry.</w:t>
        <w:br/>
        <w:t>(14) The turnover of FERRO in the last financial year according to Art. 5 of R.D. 261/2008 is, according to the notifying party, as follows:</w:t>
        <w:br/>
        <w:t>TURNOVER OF THE FERRO GROUP IN 2008</w:t>
        <w:br/>
        <w:t>(millions of euros)</w:t>
        <w:br/>
        <w:t>WORLDWIDE EU SPAIN</w:t>
        <w:br/>
        <w:t>&lt;2,500 &gt;250 &gt;60</w:t>
        <w:br/>
        <w:t>Source: Notifying party</w:t>
        <w:br/>
        <w:t>IV.2. W.C. HERAEUS GmbH (HERAEUS)</w:t>
        <w:br/>
        <w:t>(15) W.C. Heraeus GmbH is a subsidiary of the HERAEUS group with its registered office in Hanau (Germany). Its main economic activity is the production and distribution of processed precious metals and special metals such as gold, silver, platinum, iridium, etc., for use in multiple economic sectors. Additionally, it has a business area for the production and marketing of colors and auxiliaries.</w:t>
        <w:br/>
        <w:t>(16) The HERAEUS group, to which the acquiring company belongs, has other business areas such as those dedicated to the production and marketing of medical materials, materials applied to various technological solutions; and the buying and selling of gold and other precious metals.</w:t>
        <w:br/>
        <w:t>(17) The turnover of the colors and auxiliaries business area of W.C. HERAEUS GmbH in the last financial year, according to Art. 5 of R.D. 261/2008 is, according to the notifying party, as follows:</w:t>
      </w:r>
    </w:p>
    <w:p>
      <w:r>
        <w:rPr>
          <w:b/>
        </w:rPr>
        <w:t>[Pages 4–6]</w:t>
      </w:r>
    </w:p>
    <w:p>
      <w:r>
        <w:t xml:space="preserve">DIRECTORATE OF INVESTIGATION  </w:t>
        <w:br/>
        <w:t xml:space="preserve">TURNOVER OF THE BUSINESS AREA OF COLORS AND  </w:t>
        <w:br/>
        <w:t xml:space="preserve">AUXILIARIES OF WC HARAEUS IN 2008  </w:t>
        <w:br/>
        <w:t xml:space="preserve">(millions of euros)  </w:t>
        <w:br/>
        <w:t xml:space="preserve">WORLDWIDE EU SPAIN  </w:t>
        <w:br/>
        <w:t xml:space="preserve">COLORS &lt;2,500 &lt;250 &lt;60  </w:t>
        <w:br/>
        <w:t>AUXILIARIES &lt;2,500 &lt;250 &lt;60</w:t>
      </w:r>
    </w:p>
    <w:p>
      <w:r>
        <w:t xml:space="preserve">V. RELEVANT MARKETS  </w:t>
        <w:br/>
        <w:t xml:space="preserve">V.1 Product Markets  </w:t>
        <w:br/>
        <w:t xml:space="preserve">(19) The notifying party considers that the relevant product market affected by the notified operation is the manufacturing of colors and auxiliaries.  </w:t>
        <w:br/>
        <w:t xml:space="preserve">(20) Colors are pigments obtained from the mixture of metallic oxides subjected to high temperatures, and are used in the production of tiles and objects made of both glass and ceramics. Auxiliaries are products made from organic substances used for the fixation, adhesion, and protection of colors.  </w:t>
        <w:br/>
        <w:t xml:space="preserve">(21) There are no national or community precedents that allow for the delimitation of the product market. The notifying party points out that a market for high-quality colors can be distinguished from one for lower quality, and it is in this first segment that the acquired business area of HERAEUS exclusively operates.  </w:t>
        <w:br/>
        <w:t>(22) Consequently, and given that the assessment of the present operation is not affected by the definition adopted, it will be considered that the relevant market affected by the operation is that of high-quality colors and auxiliaries for decorative use.</w:t>
      </w:r>
    </w:p>
    <w:p>
      <w:r>
        <w:t xml:space="preserve">V.2 Geographical Markets  </w:t>
        <w:br/>
        <w:t xml:space="preserve">(23) The notifying party indicates that the relevant geographical market for colors could be considered national since colors are an intermediate good whose demand depends on the degree of national specialization of the destination industry (glass, ceramics, etc.). For example, in Italy and Spain, these products are primarily demanded by the tile industry, while in Germany and the United Kingdom, the demand comes from porcelain manufacturers. Additionally, the prices of this product vary depending on the country of sale.  </w:t>
        <w:br/>
        <w:t xml:space="preserve">(24) In community cases1 related to analogous products (paints for decorative use), the Commission has considered the relevant geographical market to be national due to the fact that different brands are perceived differently in one country compared to another, which could extend to colors for decorative use.  </w:t>
        <w:br/>
        <w:t xml:space="preserve">(25) Regarding auxiliaries, by analogy with community cases2 of similar products (resins and pigments), their geographical market could be considered of European dimension, due to the low differentiation of this product, the concentration of its production, and its low transportation cost.  </w:t>
        <w:br/>
        <w:t>(26) In light of the above, and in line with what has been indicated by the notifying party, given that the operation does not generate competition problems, the definition of the geographical market can be left open, analyzing both the national and European markets.</w:t>
      </w:r>
    </w:p>
    <w:p>
      <w:r>
        <w:t xml:space="preserve">VI. MARKET ANALYSIS  </w:t>
        <w:br/>
        <w:t xml:space="preserve">VI.1. Supply Structure  </w:t>
        <w:br/>
        <w:t xml:space="preserve">(27) The market for high-quality colors and auxiliaries in the EU is characterized by its strong specialization (it is aimed at the production of high-end decorative objects) and concentration in a group of highly qualified manufacturers with a wide commercial presence in the main EU countries. By its very nature, it is not a market of large volumes, with the turnover in 2008 amounting to […]3 million euros in the high-quality colors market and to […] million euros in the auxiliaries market. The main European manufacturers are: Johnson Matthey (United Kingdom), Rüger &amp; Günzel and Rhenania (Germany), Colourobbia (Italy), Torrecid (Spain), Cristalcer Cerámica (Portugal), FERRO and HERAEUS in the high-quality colors market; and Ceram Vetro (Italy), Zschimmer &amp; Schwarz (Germany) and ATC (Spain) in the auxiliaries market.  </w:t>
        <w:br/>
        <w:t xml:space="preserve">(28) In the European high-quality colors market, the increasing presence of Asian producers such as China Glaze, Poplar Taiwan, and Mitsubishi, with products of similar quality and lower price, should be noted. In the auxiliaries market, it is observed that this greater presence of Asian competitors already represents a significant market share for one of them, Poplar Taiwan, with a [0%-10%] of the total in 2008.  </w:t>
        <w:br/>
        <w:t xml:space="preserve">(29) With reference to the national market, the market for high-quality colors and auxiliaries in Spain shows very small turnover figures (in 2008 […] euros in colors and […] euros in auxiliaries), as it is an intermediate good for the manufacture of high-quality tiles and objects intended for a decorative market with reduced demand.  </w:t>
        <w:br/>
        <w:t xml:space="preserve">(30) In Spain, six (6) relevant companies operate in the high-quality colors market: Johnson Mattey, Colores Cerámicos de Tortosa, Rüger &amp; Günzel, Rhenania, HERAEUS, and FERRO. Only Colores Cerámicos de Tortosa has a production plant in Spain, while the other companies have subsidiaries dedicated exclusively to the marketing of their products, as is the case with HERAEUS and FERRO.  </w:t>
        <w:br/>
        <w:t>(31) The market shares of high-quality colors of the main companies operating in the European and Spanish markets respectively are distributed as follows:</w:t>
      </w:r>
    </w:p>
    <w:p>
      <w:r>
        <w:t>3 Brackets replace data considered confidential.</w:t>
      </w:r>
    </w:p>
    <w:p>
      <w:r>
        <w:t xml:space="preserve">MARKET SHARES OF HIGH-QUALITY COLORS FOR DECORATIVE USE IN THE EU IN 2008  </w:t>
        <w:br/>
        <w:t xml:space="preserve">COMPANY SHARE  </w:t>
        <w:br/>
        <w:t xml:space="preserve">FERRO [20%-30%]  </w:t>
        <w:br/>
        <w:t xml:space="preserve">JOHNSON MATTHEY [20%-30%]  </w:t>
        <w:br/>
        <w:t xml:space="preserve">HERAEUS [10%-20%]  </w:t>
        <w:br/>
        <w:t xml:space="preserve">RÜGER &amp; GÜNZEL [0%-10%]  </w:t>
        <w:br/>
        <w:t xml:space="preserve">COLOROBBIA [0%-10%]  </w:t>
        <w:br/>
        <w:t xml:space="preserve">OTHERS [20%-30%]  </w:t>
        <w:br/>
        <w:t>Source: Notifying party.</w:t>
      </w:r>
    </w:p>
    <w:p>
      <w:r>
        <w:t xml:space="preserve">MARKET SHARES OF HIGH-QUALITY COLORS FOR DECORATIVE USE IN SPAIN IN 2008  </w:t>
        <w:br/>
        <w:t xml:space="preserve">COMPANY SHARE  </w:t>
        <w:br/>
        <w:t xml:space="preserve">JOHNSON MATTHEY [40%-50%]  </w:t>
        <w:br/>
        <w:t xml:space="preserve">FERRO [30%-40%]  </w:t>
        <w:br/>
        <w:t xml:space="preserve">COLORES CERÁMICOS DE TORTOSA [10%-20%]  </w:t>
        <w:br/>
        <w:t xml:space="preserve">RÜGER &amp; GÜNZEL [0%-10%]  </w:t>
        <w:br/>
        <w:t xml:space="preserve">HERAEUS [0%-10%]  </w:t>
        <w:br/>
        <w:t xml:space="preserve">RHENANIA [0%-10%]  </w:t>
        <w:br/>
        <w:t xml:space="preserve">OTHERS [0%-10%]  </w:t>
        <w:br/>
        <w:t>Source: Notifying party.</w:t>
      </w:r>
    </w:p>
    <w:p>
      <w:r>
        <w:t xml:space="preserve">(30) Regarding the auxiliaries market, seven (7) relevant companies operate in Spain: Johnson Mattey, Ceram Vetro, Poplar Taiwan, Zschimmer &amp; Schwarz, ATC Spain, HERAEUS, and FERRO, with ATC Spain being the only company with production in Spain, while the others are limited to marketing activities of their products.  </w:t>
        <w:br/>
        <w:t>(31) The market shares of auxiliaries of the main companies operating in the European and Spanish markets respectively are distributed as follows:</w:t>
      </w:r>
    </w:p>
    <w:p>
      <w:r>
        <w:t xml:space="preserve">MARKET SHARES OF AUXILIARIES FOR DECORATIVE USE IN THE EU IN 2008  </w:t>
        <w:br/>
        <w:t xml:space="preserve">COMPANY SHARE  </w:t>
        <w:br/>
        <w:t xml:space="preserve">FERRO [30%-40%]  </w:t>
        <w:br/>
        <w:t xml:space="preserve">JOHNSON MATTHEY [10%-20%]  </w:t>
        <w:br/>
        <w:t xml:space="preserve">HERAEUS [10%-20%]  </w:t>
        <w:br/>
        <w:t xml:space="preserve">CERAM VETRO [10%-20%]  </w:t>
        <w:br/>
        <w:t xml:space="preserve">POPLAR TAIWAN [0%-10%]  </w:t>
        <w:br/>
        <w:t xml:space="preserve">OTHERS [10%-20%]  </w:t>
        <w:br/>
        <w:t>Source: Notifying party.</w:t>
      </w:r>
    </w:p>
    <w:p>
      <w:r>
        <w:rPr>
          <w:b/>
        </w:rPr>
        <w:t>[Pages 7–8]</w:t>
      </w:r>
    </w:p>
    <w:p>
      <w:r>
        <w:t xml:space="preserve">DIRECTORATE OF INVESTIGATION  </w:t>
        <w:br/>
        <w:t xml:space="preserve">MARKET SHARES OF AUXILIARIES FOR DECORATIVE USE IN  </w:t>
        <w:br/>
        <w:t xml:space="preserve">SPAIN IN 2008  </w:t>
        <w:br/>
        <w:t xml:space="preserve">COMPANY SHARE  </w:t>
        <w:br/>
        <w:t xml:space="preserve">JOHSON MATTHEY [30%-40%]  </w:t>
        <w:br/>
        <w:t xml:space="preserve">FERRO [20%-30%]  </w:t>
        <w:br/>
        <w:t xml:space="preserve">POPLAR TAIWAN [10%-20%]  </w:t>
        <w:br/>
        <w:t xml:space="preserve">HERAEUS [10%-20%]  </w:t>
        <w:br/>
        <w:t xml:space="preserve">CERAM VETRO [0%-10%]  </w:t>
        <w:br/>
        <w:t xml:space="preserve">ZSCHIMMER &amp; SCHWARZ [0%-10%]  </w:t>
        <w:br/>
        <w:t xml:space="preserve">ATC SPAIN [0%-10%]  </w:t>
        <w:br/>
        <w:t xml:space="preserve">OTHERS [0%-10%]  </w:t>
        <w:br/>
        <w:t>Source: Notifying Party</w:t>
      </w:r>
    </w:p>
    <w:p>
      <w:r>
        <w:t xml:space="preserve">(32) In the Spanish market for high-end colors, imports marketed through the subsidiaries of major manufacturers dominate most of the Spanish market, with the exception of colors produced by the company Colores Cerámicos de Tortosa.  </w:t>
        <w:br/>
        <w:t>(33) In the case of auxiliaries, with some exceptions such as the company ATC Spain, which has a production plant, the main activity of operators in the Spanish market is the distribution of their products.</w:t>
      </w:r>
    </w:p>
    <w:p>
      <w:r>
        <w:t xml:space="preserve">VI.2. Demand Structure, Distribution, and Prices  </w:t>
        <w:br/>
        <w:t xml:space="preserve">(34) The main customers of both high-quality colors and auxiliaries are manufacturers of glass and ceramic objects, who use them in the decoration of their products.  </w:t>
        <w:br/>
        <w:t xml:space="preserve">(35) The notifying party notes that one of the current characteristics of demand is that customers have been losing loyalty to certain brands/manufacturers and that their purchasing decisions are starting to be based solely on price.  </w:t>
        <w:br/>
        <w:t xml:space="preserve">(36) The companies demanding these products are medium-sized companies operating in the tile manufacturing and gift object production segment. The main companies in Spain in this sector are, according to the notifying party, [….  </w:t>
        <w:br/>
        <w:t xml:space="preserve">(37) Sales of these products are made directly from manufacturers or through marketing subsidiaries that the main manufacturers own in Spain.  </w:t>
        <w:br/>
        <w:t>(38) The prices of colors and auxiliaries are set per kilogram of product. The notifying party indicates that the average price of high-quality colors in Spain is in a range of […] euros/kg. As for auxiliaries, the price for one kilogram can range from […] euros.</w:t>
      </w:r>
    </w:p>
    <w:p>
      <w:r>
        <w:t xml:space="preserve">VI.3. Potential Competition - Barriers to Entry  </w:t>
        <w:br/>
        <w:t xml:space="preserve">(39) The notifying party indicates that there are no significant barriers to entry in this market: the sources of supply for raw materials are open to all; there is little brand weight, no relevant industrial property rights (patents), and likewise, no legal and administrative barriers to operate. Evidence of this is the successful entry of some Asian operators such as Poplar Taiwan in the case of auxiliaries.  </w:t>
        <w:br/>
        <w:t>(40) In both the high-quality colors market and the auxiliaries market, despite the small business volume, there is a significant number of companies operating in it, competing more on price than on brand value.</w:t>
      </w:r>
    </w:p>
    <w:p>
      <w:r>
        <w:t xml:space="preserve">VII. ASSESSMENT OF THE OPERATION  </w:t>
        <w:br/>
        <w:t xml:space="preserve">(41) The present operation consists of the acquisition by FERRO CORPORATION of the business areas for the production and marketing of high-quality colors and auxiliaries from the company WC HERAEUS GmbH.  </w:t>
        <w:br/>
        <w:t xml:space="preserve">(42) The total turnover of the relevant market in Spain is very small ([…] euros in colors and […] euros in auxiliaries in 2008), with numerous companies operating in it.  </w:t>
        <w:br/>
        <w:t xml:space="preserve">(43) The resulting share of the acquirer in the European market for high-quality colors would rise to [40%-50%] (an addition of [10%-20%]) and to [50%-60%] (an addition of [10%-20%]) in the auxiliaries market. The resulting share in the Spanish market for high-quality colors would rise to [30%-40%] (an addition of [0%-10%]) and to [30%-40%] (an addition of [10%-20%]) in the national auxiliaries market, resulting in a certain modification of the supply structure.  </w:t>
        <w:br/>
        <w:t xml:space="preserve">(44) However, the strengthening of FERRO would be mitigated by the absence of exclusive contracts with its current customers. Additionally, there are no relevant barriers to entry in these markets. Both the manufacturing technique and access to sources of raw materials are within reach of any potential producer, and moreover, there is significant entry of Asian producers generating strong competition and keeping prices of these products stable.  </w:t>
        <w:br/>
        <w:t xml:space="preserve">(45) It is also a market where brand loyalty is low and customers determine their purchasing decisions based on price.  </w:t>
        <w:br/>
        <w:t xml:space="preserve">(46) Additionally, the parties do not manufacture their products in Spain, resulting in no vertical overlap affecting the Spanish market.  </w:t>
        <w:br/>
        <w:t>(47) Taking all of the above into account, it cannot be expected that the operation poses a threat to competition in the relevant market, and therefore it is susceptible to being approved in the first phase without commitments.</w:t>
      </w:r>
    </w:p>
    <w:p>
      <w:r>
        <w:t xml:space="preserve">VIII.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