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https://www.cnmc.es/expedientes/c019909</w:t>
      </w:r>
    </w:p>
    <w:p>
      <w:r>
        <w:t>Pages translated : 1</w:t>
      </w:r>
    </w:p>
    <w:p/>
    <w:p>
      <w:r>
        <w:rPr>
          <w:b/>
        </w:rPr>
        <w:t>[Pages 1–1]</w:t>
      </w:r>
    </w:p>
    <w:p>
      <w:r>
        <w:t>RESOLUTION (File No. C-0199/09, CAIXA GIRONA/CAIXA MANLLEU/CAIXA SABADELL/CAIXA TERRASSA)</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April 14, 2010.</w:t>
      </w:r>
    </w:p>
    <w:p>
      <w:r>
        <w:t>Having reviewed the file processed in accordance with Law 15/2007, of July 3, on the Defense of Competition, concerning the merger of the entities CAIXA D’ESTALVIS DE GIRONA, CAIXA D’ESTALVIS DE MANLLEU, CAIXA D’ESTALVIS DE SABADELL, and CAIXA D’ESTALVIS DE TERRASSA, (File No. C/0199/09), and in agreement with the report and proposal submitted by the Directorate of Investigation, the Council of the National Competition Commission has resolved, in application of Article 58.4.d) of the aforementioned Law, to agree to the filing of the present file due to the withdrawal of the notifying parties.</w:t>
      </w:r>
    </w:p>
    <w:p>
      <w:r>
        <w:t>All of this is without prejudice to the provisions of Article 9 of Law 15/2007, of July 3, on the Defense of Competition, in the event that CAIXA GIRONA, CAIXA MANLLEU, CAIXA SABADELL, and CAIXA TERRASSA enter into a new agreement that may give rise to a notifiable economic concentration operation in accordance with the criteria of Law 15/2007, of July 3, on the Defense of Competition.</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