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https://www.cnmc.es/expedientes/c020610</w:t>
      </w:r>
    </w:p>
    <w:p>
      <w:r>
        <w:t>Pages translated : 9</w:t>
      </w:r>
    </w:p>
    <w:p/>
    <w:p>
      <w:r>
        <w:rPr>
          <w:b/>
        </w:rPr>
        <w:t>[Pages 1–3]</w:t>
      </w:r>
    </w:p>
    <w:p>
      <w:r>
        <w:t>NATIONAL COMMISSION</w:t>
        <w:br/>
        <w:t>FOR COMPETITION</w:t>
        <w:br/>
        <w:t>RESOLUTION (File C-0206/10, TAPON SPAIN/TAPON CORONA)</w:t>
        <w:br/>
        <w:t>COUNCIL</w:t>
        <w:br/>
        <w:t>Mr. Luis Berenguer Fuster,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February 3, 2010.</w:t>
      </w:r>
    </w:p>
    <w:p>
      <w:r>
        <w:t>Having reviewed the file processed in accordance with Law 15/2007, of July 3, on the Defense of Competition, regarding the acquisition by TAPON SPAIN S.L.U., a subsidiary of CAN-PACK METAL CLOSURES SP. ZO.O, of the business of manufacturing and distributing crown caps from TAPÓN CORONA IBÉRICA S.A. (File C/0206/10),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 except with respect to the confidentiality clauses of the lease and purchase contracts that are subject to the applicable competition regulations regarding agreements between companies.</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PROPOSED RESOLUTION</w:t>
        <w:br/>
        <w:t>FILE C/0206/10 TAPON SPAIN / TAPON CORONA</w:t>
      </w:r>
    </w:p>
    <w:p>
      <w:r>
        <w:t>I. BACKGROUND</w:t>
      </w:r>
    </w:p>
    <w:p>
      <w:r>
        <w:t>(1) On January 15, 2010, this Directorate of Investigation received notification of the acquisition by TAPÓN SPAIN, S.L.U. (CP MC), a subsidiary of CAN-PACK METAL CLOSURES SP. ZO.O., of the business of manufacturing and distributing crown caps from TAPÓN CORONA IBÉRICA, S.A. (TCI).</w:t>
      </w:r>
    </w:p>
    <w:p>
      <w:r>
        <w:t>(2) This notification has been made by CP MC in accordance with Article 9 of Law 15/2007, of July 3, on the Defense of Competition, as it exceeds the threshold established in Article 8.1 a). This operation is subject to the provisions of Royal Decree 261/2008 of February 22, which approves the Competition Defense Regulation.</w:t>
      </w:r>
    </w:p>
    <w:p>
      <w:r>
        <w:t>(3)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(4) Likewise,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(5) According to the above, the deadline to agree to initiate the second phase of the procedure is February 15, 2010, inclusive. After this date, the notified operation will be considered tacitly authorized.</w:t>
      </w:r>
    </w:p>
    <w:p>
      <w:r>
        <w:t>II. NATURE OF THE OPERATION</w:t>
      </w:r>
    </w:p>
    <w:p>
      <w:r>
        <w:t>(6) The concentration operation consists of the acquisition by TAPÓN SPAIN, S.L.U. (CP MC), a subsidiary of CAN-PACK METAL CLOSURES SP. ZO.O., of the business of manufacturing and distributing crown caps from TAPÓN CORONA IBÉRICA, S.A. (TCI).</w:t>
      </w:r>
    </w:p>
    <w:p>
      <w:r>
        <w:t>(7) This operation is structured through a series of agreements related to the purchase and lease of certain assets, as well as the transfer of employees. In particular, CP MC and TCI signed on December 21, 2009, a Lease Agreement for real estate and a Purchase Agreement for machinery and assets with the assumption of all labor contracts.</w:t>
      </w:r>
    </w:p>
    <w:p>
      <w:r>
        <w:t>(8) Under the Agreements:</w:t>
      </w:r>
    </w:p>
    <w:p>
      <w:r>
        <w:t>(9) TCI sells to CP MC part of TCI's machinery necessary for the production of caps and part of its inventory;</w:t>
      </w:r>
    </w:p>
    <w:p>
      <w:r>
        <w:t>(10) TCI leases to CP MC for a period of five years the land on which the cap manufacturing activity is currently carried out. On this land, there is a factory, a warehouse, and an electrical transformer (hereinafter, together with the land, the "Property"). CP MC will have an unconditional and irrevocable right of first refusal on the Property during the lease term;</w:t>
      </w:r>
    </w:p>
    <w:p>
      <w:r>
        <w:t>(11) TCI transfers to CP MC certain industrial property rights, as well as a lease contract for an incinerator located on the land mentioned in point (ii) above;</w:t>
      </w:r>
    </w:p>
    <w:p>
      <w:r>
        <w:t>(12) TCI transfers to CP MC all of its employees; and</w:t>
      </w:r>
    </w:p>
    <w:p>
      <w:r>
        <w:t>(13) TCI leases to CP MC until June 30, 2010, the equipment, machinery, and tools located in the aforementioned factory and necessary for the current production activity of that factory.</w:t>
      </w:r>
    </w:p>
    <w:p>
      <w:r>
        <w:t>(14) TCI will not retain any assets related to the crown caps business.</w:t>
      </w:r>
    </w:p>
    <w:p>
      <w:r>
        <w:t>(15) The execution of the operation is subject to the authorization of the competition authorities of Spain and Portugal.</w:t>
      </w:r>
    </w:p>
    <w:p>
      <w:r>
        <w:t>III. ACCESSORY RESTRICTIONS</w:t>
      </w:r>
    </w:p>
    <w:p>
      <w:r>
        <w:t>(16) Both clause 17 of the Lease Agreement and clause 18 of the Purchase Agreement include a confidentiality obligation enforceable against all parties to each contract. Its duration is [greater than three years] and under it, both parties agree to treat all information to which they have access or obtain as a result of the execution of the Agreements as strictly confidential, except in certain cases where the disclosure of such information will not constitute a breach of said contracts.</w:t>
      </w:r>
    </w:p>
    <w:p>
      <w:r>
        <w:t>(17) Section 3 of Article 10 of the LDC establishes that "certain accessory restrictions on competition, directly linked to the operation and necessary for its execution, may be understood to be included."</w:t>
      </w:r>
    </w:p>
    <w:p>
      <w:r>
        <w:t>(18) The European Commission in its Communication on restrictions directly linked to the execution of a concentration and necessary for that purpose (2005/C 56/03) admits that confidentiality clauses related to technical know-how may be justified for periods longer than three years, albeit exceptionally, so this Directorate of Investigation considers that in this case the duration [greater than three years] of the clause goes beyond what is reasonably required by the notified concentration operation, and is not considered an integral part of it.</w:t>
      </w:r>
    </w:p>
    <w:p>
      <w:r>
        <w:t>IV. APPLICABILITY OF LAW 15/2007 ON THE DEFENSE OF COMPETITION</w:t>
      </w:r>
    </w:p>
    <w:p>
      <w:r>
        <w:t>(19) According to the notifying party, the operation does not fall within the scope of Regulation (EC) No. 139/2004 of the Council, of January 20, on the control of concentrations between companies.</w:t>
      </w:r>
    </w:p>
    <w:p>
      <w:r>
        <w:rPr>
          <w:b/>
        </w:rPr>
        <w:t>[Pages 4–6]</w:t>
      </w:r>
    </w:p>
    <w:p>
      <w:r>
        <w:t>DIRECTORATE OF INVESTIGATION</w:t>
      </w:r>
    </w:p>
    <w:p>
      <w:r>
        <w:t>(20) The notified operation, however, meets the requirements set forth by Law 15/2007 for its notification, as it exceeds the threshold established in Article 8.1a) of the same.</w:t>
      </w:r>
    </w:p>
    <w:p>
      <w:r>
        <w:t>V. PARTICIPATING COMPANIES</w:t>
      </w:r>
    </w:p>
    <w:p>
      <w:r>
        <w:t>V.1. CAN-PACK METAL CLOSURES SP. ZO.O. (“CP MC”)</w:t>
      </w:r>
    </w:p>
    <w:p>
      <w:r>
        <w:t>(21) CP MC is wholly owned by CAN PACK METAL CLOSURES SP ZO.O., which belongs to the CAN PACK corporate group, headed by the Polish company CAN PACK, S.A. This is a corporate group active in the market for the manufacture of containers and closures for containers intended for the food industry.</w:t>
      </w:r>
    </w:p>
    <w:p>
      <w:r>
        <w:t>(22) The Can Pack group is present in Poland, Russia, Romania, Ukraine, Slovakia, Czech Republic, France, the United Kingdom, Turkey, Egypt, India, and the United Arab Emirates.</w:t>
      </w:r>
    </w:p>
    <w:p>
      <w:r>
        <w:t>(23) The turnover of CP MC in the last financial year, according to Art. 5 of R.D. 261/2008, is, according to the notifier, as follows:</w:t>
      </w:r>
    </w:p>
    <w:p>
      <w:r>
        <w:t>TURNOVER OF CP MC IN 2008*</w:t>
        <w:br/>
        <w:t>(millions of euros)</w:t>
      </w:r>
    </w:p>
    <w:p>
      <w:r>
        <w:t>GLOBAL EU SPAIN</w:t>
        <w:br/>
        <w:t>[&lt;2500] [&lt;250] [&lt;60]</w:t>
      </w:r>
    </w:p>
    <w:p>
      <w:r>
        <w:t>Source: Notification. *Includes the financial year from July 1, 2007, to December 31, 2008, due to the fact that in 2007 the financial year was modified to coincide with the calendar year.</w:t>
      </w:r>
    </w:p>
    <w:p>
      <w:r>
        <w:t>V.2. TAPÓN CORONA IBÉRICA, S.A. (“TCI”)</w:t>
      </w:r>
    </w:p>
    <w:p>
      <w:r>
        <w:t>(24) TCI is part of the Zapata corporate group, one of the main industrial groups in Mexico, primarily dedicated to the manufacture of tinplate containers and closure systems for containers, for which it has several production plants in America and Europe.</w:t>
      </w:r>
    </w:p>
    <w:p>
      <w:r>
        <w:t>(25) TCI is exclusively dedicated to the manufacture of crown caps in its various modalities.</w:t>
      </w:r>
    </w:p>
    <w:p>
      <w:r>
        <w:t>(26) The turnover of the acquired TCI assets in the last financial year, according to Art. 5 of R.D. 261/2008, is, according to the notifier, as follows:</w:t>
      </w:r>
    </w:p>
    <w:p>
      <w:r>
        <w:t>TURNOVER OF TCI ASSETS IN 2008</w:t>
        <w:br/>
        <w:t>(millions of euros)</w:t>
      </w:r>
    </w:p>
    <w:p>
      <w:r>
        <w:t>GLOBAL EU SPAIN</w:t>
        <w:br/>
        <w:t>[&lt;2500] [&lt;250] [&lt;60]</w:t>
      </w:r>
    </w:p>
    <w:p>
      <w:r>
        <w:t>Source: Notification</w:t>
      </w:r>
    </w:p>
    <w:p>
      <w:r>
        <w:t>VI. RELEVANT MARKETS</w:t>
      </w:r>
    </w:p>
    <w:p>
      <w:r>
        <w:t>VI.1 Product Markets</w:t>
      </w:r>
    </w:p>
    <w:p>
      <w:r>
        <w:t>(27) The sector in which the operation is framed is that of metal closure systems, specifically, the manufacture and distribution of crown caps.</w:t>
      </w:r>
    </w:p>
    <w:p>
      <w:r>
        <w:t>(28) The acquiring group is present in the industrial manufacture of containers and closures for containers, primarily intended for the food sector (especially in the packaged beverages sector) and the chemical sector.</w:t>
      </w:r>
    </w:p>
    <w:p>
      <w:r>
        <w:t>(29) Regarding closures for containers, the companies of the acquiring group manufacture both closures for aluminum and steel containers, as well as screw-type crown caps that are marketed with both polyethylene and PVC covers. However, CP MC has no activity in Spain.</w:t>
      </w:r>
    </w:p>
    <w:p>
      <w:r>
        <w:t>(30) The acquired TCI is solely dedicated to crown caps. Crown caps are generally made of tin-free steel with a cork or plastic lining on the inside, primarily used for the hermetic sealing of beer containers and also in bottles of carbonated beverages. In the sector, three categories of crown caps are usually distinguished, all manufactured by TCI:</w:t>
      </w:r>
    </w:p>
    <w:p>
      <w:r>
        <w:t>(31) Caps with a pry-off or lever system, which are separated from the bottle using a bottle opener.</w:t>
      </w:r>
    </w:p>
    <w:p>
      <w:r>
        <w:t>(32) Caps with a twist-off or screw system, which are manually separated from the bottle with a twisting motion.</w:t>
      </w:r>
    </w:p>
    <w:p>
      <w:r>
        <w:t>(33) "Special" caps, a category that includes promotional caps, oxygen control caps (which are intended to reduce the oxidation of the packaged liquid), and aldehyde control caps (which aim to prevent the formation of aldehydes in the packaged liquid).</w:t>
      </w:r>
    </w:p>
    <w:p>
      <w:r>
        <w:t>(34) According to the aforementioned community and national precedents, closures can be grouped into three categories: (i) metallic closures made of steel and aluminum, which can be of three types: crown, screw, and vacuum; (ii) plastic closures, mainly standard screw and pressure screw; and (iii) cork closures, both natural and agglomerated.</w:t>
      </w:r>
    </w:p>
    <w:p>
      <w:r>
        <w:t>(35) In the cited precedents, the European Commission has stated that crown caps constitute a separate market. From the demand perspective, the type of cap is determined by the design of the bottle. A change in cap model would require changes in the bottle design. For carbonated beverages packaged in smooth-neck glass bottles, there is practically no product that can replace crown caps.</w:t>
      </w:r>
    </w:p>
    <w:p>
      <w:r>
        <w:t>(36) Consequently, this Directorate of Investigation considers that the product market affected by the operation is the manufacture and distribution of crown caps.</w:t>
      </w:r>
    </w:p>
    <w:p>
      <w:r>
        <w:t>VI.2 Geographic Markets</w:t>
      </w:r>
    </w:p>
    <w:p>
      <w:r>
        <w:t>(37) In the cited precedents, the geographic market for metal and plastic closure systems has been defined as at least of community dimension, as transportation costs are relatively low and there is a high percentage of intra-community trade.</w:t>
      </w:r>
    </w:p>
    <w:p>
      <w:r>
        <w:t>VII. MARKET ANALYSIS</w:t>
      </w:r>
    </w:p>
    <w:p>
      <w:r>
        <w:t>VII.1 Structure of Supply</w:t>
      </w:r>
    </w:p>
    <w:p>
      <w:r>
        <w:t>(38) The following tables detail the market shares of the parties and their main competitors in the crown caps market in the EEA:</w:t>
      </w:r>
    </w:p>
    <w:p>
      <w:r>
        <w:t>Crown Caps Market in the EEA (Volume - billions of units)</w:t>
      </w:r>
    </w:p>
    <w:p>
      <w:r>
        <w:t>2006 2007 2008</w:t>
      </w:r>
    </w:p>
    <w:p>
      <w:r>
        <w:t>Quantity Share % Quantity Share % Quantity Share %</w:t>
      </w:r>
    </w:p>
    <w:p>
      <w:r>
        <w:t>CP MC […] [10-20] […] [10-20] […] [10-20]</w:t>
      </w:r>
    </w:p>
    <w:p>
      <w:r>
        <w:t>TCI Assets […] [0-10] […] [0-10] […] [0-10]</w:t>
      </w:r>
    </w:p>
    <w:p>
      <w:r>
        <w:t>CP MC + […] [10-20] […] [20-30] […] [20-30]</w:t>
      </w:r>
    </w:p>
    <w:p>
      <w:r>
        <w:t>TCI Assets</w:t>
      </w:r>
    </w:p>
    <w:p>
      <w:r>
        <w:t>PELLICONI […] [20-30] […] [20-30] […] [20-30]</w:t>
      </w:r>
    </w:p>
    <w:p>
      <w:r>
        <w:t>RAUH […] [10-20] […] [10-20] […] [10-20]</w:t>
      </w:r>
    </w:p>
    <w:p>
      <w:r>
        <w:t>BRUNINGHAUS […] N.D. […] N.D. […] [10-20]</w:t>
      </w:r>
    </w:p>
    <w:p>
      <w:r>
        <w:t>ASTIR […] [0-10] […] [0-10] […] [0-10]</w:t>
      </w:r>
    </w:p>
    <w:p>
      <w:r>
        <w:t>VITOGIANNIS</w:t>
      </w:r>
    </w:p>
    <w:p>
      <w:r>
        <w:t>OTHERS (in […] [40-50] […] [30-40] […] [20-30]</w:t>
      </w:r>
    </w:p>
    <w:p>
      <w:r>
        <w:t>2006 and 2007</w:t>
      </w:r>
    </w:p>
    <w:p>
      <w:r>
        <w:t>including</w:t>
      </w:r>
    </w:p>
    <w:p>
      <w:r>
        <w:t>BRUNINGHAUS)</w:t>
      </w:r>
    </w:p>
    <w:p>
      <w:r>
        <w:t>TOTAL […] 100 […] 100 […] 100</w:t>
      </w:r>
    </w:p>
    <w:p>
      <w:r>
        <w:t>Source: Notification</w:t>
      </w:r>
    </w:p>
    <w:p>
      <w:r>
        <w:t>Crown Caps Market in the EEA (Value - millions of euros)</w:t>
      </w:r>
    </w:p>
    <w:p>
      <w:r>
        <w:t>2006 2007 2008</w:t>
      </w:r>
    </w:p>
    <w:p>
      <w:r>
        <w:t>Sales Share % Sales Share % Sales Share %</w:t>
      </w:r>
    </w:p>
    <w:p>
      <w:r>
        <w:t>CP MC […] [10-20] […] [10-20] […] [10-20]</w:t>
      </w:r>
    </w:p>
    <w:p>
      <w:r>
        <w:t>TCI Assets […] [0-10] […] [0-10] […] [0-10]</w:t>
      </w:r>
    </w:p>
    <w:p>
      <w:r>
        <w:t>CP MC + […] [20-30] […] [20-30] […] [20-30]</w:t>
      </w:r>
    </w:p>
    <w:p>
      <w:r>
        <w:t>TCI Assets</w:t>
      </w:r>
    </w:p>
    <w:p>
      <w:r>
        <w:t>PELLICONI […] N.D. […] N.D. […] N.D.</w:t>
      </w:r>
    </w:p>
    <w:p>
      <w:r>
        <w:t>RAUH […] N.D. […] N.D. […] N.D.</w:t>
      </w:r>
    </w:p>
    <w:p>
      <w:r>
        <w:t>BRUNINGHAUS […] N.D. […] N.D. […] N.D.</w:t>
      </w:r>
    </w:p>
    <w:p>
      <w:r>
        <w:t>ASTIR […] N.D. […] N.D. […] N.D.</w:t>
      </w:r>
    </w:p>
    <w:p>
      <w:r>
        <w:t>VITOGIANNIS</w:t>
      </w:r>
    </w:p>
    <w:p>
      <w:r>
        <w:t>OTHERS (in […] N.D. […] N.D. […] N.D.</w:t>
      </w:r>
    </w:p>
    <w:p>
      <w:r>
        <w:t>2006 and 2007</w:t>
      </w:r>
    </w:p>
    <w:p>
      <w:r>
        <w:t>including</w:t>
      </w:r>
    </w:p>
    <w:p>
      <w:r>
        <w:t>BRUNINGHAUS)</w:t>
      </w:r>
    </w:p>
    <w:p>
      <w:r>
        <w:t>TOTAL […] 100 […] 100 […] 100</w:t>
      </w:r>
    </w:p>
    <w:p>
      <w:r>
        <w:t>Source: Notification</w:t>
      </w:r>
    </w:p>
    <w:p>
      <w:r>
        <w:t>(39) It is observed that the concentration produces a limited addition of market shares in the EEA ([0-10]% in volume and [0-10]% in value) with a resulting share of [20-30]% in volume ([20-30]% in value) after PELLICONI ([20-30]%).</w:t>
      </w:r>
    </w:p>
    <w:p>
      <w:r>
        <w:t>(40) The notifier indicates that the parties have not been able to make a reliable estimate of the value shares of competitors, although they consider that the market structure in terms of value will be similar to that measured in volume.</w:t>
      </w:r>
    </w:p>
    <w:p>
      <w:r>
        <w:t>(41) Below are the shares of the parties and their competitors in Spain:</w:t>
      </w:r>
    </w:p>
    <w:p>
      <w:r>
        <w:rPr>
          <w:b/>
        </w:rPr>
        <w:t>[Pages 7–9]</w:t>
      </w:r>
    </w:p>
    <w:p>
      <w:r>
        <w:t>DIRECTORATE OF INVESTIGATION</w:t>
      </w:r>
    </w:p>
    <w:p>
      <w:r>
        <w:t>Crown Caps Market in Spain (Volume - billions of units)</w:t>
      </w:r>
    </w:p>
    <w:p>
      <w:r>
        <w:t>2006 2007 2008</w:t>
      </w:r>
    </w:p>
    <w:p>
      <w:r>
        <w:t>Quantity Share % Quantity Share % Quantity Share %</w:t>
      </w:r>
    </w:p>
    <w:p>
      <w:r>
        <w:t>CP MC […] 0 […] 0 […] 0</w:t>
      </w:r>
    </w:p>
    <w:p>
      <w:r>
        <w:t>TCI Assets […] [40-50] […] [40-50] […] [40-50]</w:t>
      </w:r>
    </w:p>
    <w:p>
      <w:r>
        <w:t>CP MC + […] [40-50] […] [40-50] […] [40-50]</w:t>
      </w:r>
    </w:p>
    <w:p>
      <w:r>
        <w:t>TCI Assets</w:t>
      </w:r>
    </w:p>
    <w:p>
      <w:r>
        <w:t>JOSE […] [20-30] […] [20-30] […] [20-30]</w:t>
      </w:r>
    </w:p>
    <w:p>
      <w:r>
        <w:t>COMBALIA</w:t>
      </w:r>
    </w:p>
    <w:p>
      <w:r>
        <w:t>PELLICONI […] [10-20] […] [10-20] […] [10-20]</w:t>
      </w:r>
    </w:p>
    <w:p>
      <w:r>
        <w:t>NEWBOX […] [0-10] […] [0-10] […] [0-10]</w:t>
      </w:r>
    </w:p>
    <w:p>
      <w:r>
        <w:t>OTHERS […] [0-10] […] [0-10] […] [0-10]</w:t>
      </w:r>
    </w:p>
    <w:p>
      <w:r>
        <w:t>TOTAL […] 100 […] 100 […] 100</w:t>
      </w:r>
    </w:p>
    <w:p>
      <w:r>
        <w:t>Source: Notification</w:t>
      </w:r>
    </w:p>
    <w:p>
      <w:r>
        <w:t>Crown Caps Market in Spain (Value - millions of euros)</w:t>
      </w:r>
    </w:p>
    <w:p>
      <w:r>
        <w:t>2006 2007 2008</w:t>
      </w:r>
    </w:p>
    <w:p>
      <w:r>
        <w:t>Sales Share % Sales Share % Sales Share %</w:t>
      </w:r>
    </w:p>
    <w:p>
      <w:r>
        <w:t>CP MC 0 0 0 0 0 0</w:t>
      </w:r>
    </w:p>
    <w:p>
      <w:r>
        <w:t>TCI Assets [10-20] [60-70] [10-20] [50-60] [10-20] [40-50]</w:t>
      </w:r>
    </w:p>
    <w:p>
      <w:r>
        <w:t>CP MC + [10-20] [60-70] [10-20] [50-60] [10-20] [40-50]</w:t>
      </w:r>
    </w:p>
    <w:p>
      <w:r>
        <w:t>TCI Assets</w:t>
      </w:r>
    </w:p>
    <w:p>
      <w:r>
        <w:t>JOSE N.D. N.D. N.D. N.D. N.D. N.D.</w:t>
      </w:r>
    </w:p>
    <w:p>
      <w:r>
        <w:t>COMBALIA</w:t>
      </w:r>
    </w:p>
    <w:p>
      <w:r>
        <w:t>PELLICONI N.D. N.D. N.D. N.D. [0-10] [0-10]</w:t>
      </w:r>
    </w:p>
    <w:p>
      <w:r>
        <w:t>NEWBOX N.D. N.D. N.D. N.D. [0-10] [0-10]</w:t>
      </w:r>
    </w:p>
    <w:p>
      <w:r>
        <w:t>OTHERS N.D. N.D. N.D. N.D. N.D. N.D.</w:t>
      </w:r>
    </w:p>
    <w:p>
      <w:r>
        <w:t>TOTAL [20-30] 100 [20-30] 100 [20-30] 100</w:t>
      </w:r>
    </w:p>
    <w:p>
      <w:r>
        <w:t>Source: Notification</w:t>
      </w:r>
    </w:p>
    <w:p>
      <w:r>
        <w:t>(42) It is observed that, with respect to Spain, the operation does not produce overlap of activities as the acquiring Group has no sales in Spain of crown caps or any other product or service. Regarding TCI, its share was [40-50]% (value) in 2008, although it has been decreasing over the last three years from [60-70]% (value) in 2006. As in the case of the EEA, the parties have not been able to estimate the total value shares for their competitors but believe they should be similar to the volume shares as it is a homogeneous product.</w:t>
      </w:r>
    </w:p>
    <w:p>
      <w:r>
        <w:t>VII.2 Structure of Demand, Distribution, and Prices</w:t>
      </w:r>
    </w:p>
    <w:p>
      <w:r>
        <w:t>(43) The main customers of crown caps are major brewing and soft drink companies with significant bargaining power such as HEINEKEN, MAHOU-SAN MIGUEL, DAMM, SCHWEPPES, COCA-COLA, PEPSI-KAS, etc.</w:t>
      </w:r>
    </w:p>
    <w:p>
      <w:r>
        <w:t>(44) Furthermore, the market for metal crown closures is a mature market with stable demand.</w:t>
      </w:r>
    </w:p>
    <w:p>
      <w:r>
        <w:t>(45) TCI carries out all distribution of its crown caps through third-party transport companies.</w:t>
      </w:r>
    </w:p>
    <w:p>
      <w:r>
        <w:t>(46) Generally, customers do not enter into a distribution contract with a single manufacturer of metal crown caps, due to reasons related to distribution security and the internal purchasing strategies of each customer. On the other hand, long-term contracts are not common, mainly due to changes in raw material prices (in particular, changes in steel prices and in the price of polyvinyl chloride resin used in the caps of crown caps). These prices are modified at least once a year, which requires periodic renewals and often of the distribution contracts for metal crown caps.</w:t>
      </w:r>
    </w:p>
    <w:p>
      <w:r>
        <w:t>VII.3 Potential Competition - Barriers to Entry</w:t>
      </w:r>
    </w:p>
    <w:p>
      <w:r>
        <w:t>(47) There are no significant barriers to entry in the crown cap manufacturing market. The costs of production equipment are not particularly high. The notifier estimates that for a new company to enter the crown cap market, a total investment of approximately 3 to 4 million euros would be necessary (including all the infrastructure needed to carry out the production activity). The production process is relatively simple and widely known as metal crown caps were invented over a century ago and their manufacturing process has remained practically the same since then.</w:t>
      </w:r>
    </w:p>
    <w:p>
      <w:r>
        <w:t>VIII. VALUATION OF THE OPERATION</w:t>
      </w:r>
    </w:p>
    <w:p>
      <w:r>
        <w:t>(48) The notified operation consists of the acquisition by TAPÓN SPAIN, S.L.U. (CP MC), a subsidiary of CAN-PACK METAL CLOSURES SP. ZO.O., of the business of manufacturing and distributing crown caps from TAPÓN CORONA IBÉRICA, S.A. (TCI).</w:t>
      </w:r>
    </w:p>
    <w:p>
      <w:r>
        <w:t>(49) The product market affected by the operation is that of closure systems for metal containers and, specifically, the manufacturing and distribution of crown caps. The geographical scope of competition corresponds at least to the EEA.</w:t>
      </w:r>
    </w:p>
    <w:p>
      <w:r>
        <w:t>(50) The operation represents a limited addition of market shares in the EEA ([0-10]% in volume) with a resulting share of [20-30]% after PELLICONI ([20-30]% volume). There are other competitors such as RAUH ([10-20]%) and BRUNINGHAUS ([10-20]%). The notifier estimates that the value shares are similar given the homogeneity of the product.</w:t>
      </w:r>
    </w:p>
    <w:p>
      <w:r>
        <w:t>(51) In Spain, the operation does not produce a modification of the market structure either horizontally or vertically as the acquiring Group has no sales in Spain. The acquired TCI assets have a share of [40-50]% (volume) and [40-50]% (value), thus being the market leader although there are other competitors such as JOSÉ COMBALÍA, PELLICONI, NEWBOX, etc.</w:t>
      </w:r>
    </w:p>
    <w:p>
      <w:r>
        <w:t>(52) Furthermore, the customers in this market are usually large multinationals in the soft drink sector with significant bargaining power such as PEPSI-KAS, SCHWEPPES, and in the beer sector, HEINEKEN, MAHOU-SAN MIGUEL, DAMM, and others.</w:t>
      </w:r>
    </w:p>
    <w:p>
      <w:r>
        <w:t>(53) Additionally, the barriers to entry into this market are very insignificant as the production process of crown caps is already well known and does not require large investments.</w:t>
      </w:r>
    </w:p>
    <w:p>
      <w:r>
        <w:t>(54) Taking all of the above into account, it is not expected that the operation will pose a threat to competition in the relevant market, so it is susceptible to being approved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