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https://www.cnmc.es/expedientes/c020710</w:t>
      </w:r>
    </w:p>
    <w:p>
      <w:r>
        <w:t>Pages translated : 3</w:t>
      </w:r>
    </w:p>
    <w:p/>
    <w:p>
      <w:r>
        <w:rPr>
          <w:b/>
        </w:rPr>
        <w:t>[Pages 1–3]</w:t>
      </w:r>
    </w:p>
    <w:p>
      <w:r>
        <w:t>NATIONAL COMPETITION COMMISSION RESOLUTION (File C-0207/10, CRITERIA/ADESLAS) COUNCIL Mr. Luis Berenguer Fuster, President Mr. Emilio Conde Fernández-Oliva, Councilor Mr. Miguel Cuerdo Mir, Councilor Ms. Pilar Sánchez Núñez, Councilor Mr. Julio Costas Comesaña, Councilor Ms. Mª Jesús González López, Councilor Ms. Inmaculada Gutiérrez Carrizo, Councilor In Madrid, on February 3, 2010. Having reviewed the file processed in accordance with Law 15/2007, of July 3, on the Defense of Competition, regarding the acquisition by the CAJA DE AHORROS Y PENSIONES DE BARCELONA, through its holding company CRITERIA CAIXACORP S.A., of exclusive control over the INSURANCE COMPANY ADESLAS, which it already jointly controlled with the Suez Group (File C/0207/10), and agreeing with the report and proposal submitted by the Directorate of Investigation, the Council of the National Competition Commission has resolved, pursuant to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 REPORT AND PROPOSAL FOR RESOLUTION FILE C/0207/10 CRITERIA / ADESLAS I. BACKGROUND (1) On January 19, 2010, a notification was received by the National Competition Commission (CNC) regarding the acquisition by the Caja de Ahorros y Pensiones de Barcelona (“LA CAIXA”), through its holding company, Criteria CaixaCorp, S.A. (“CRITERIA”), of exclusive control over the INSURANCE COMPANY ADESLAS, which it already jointly controlled with the Suez Group. This acquisition took place through a share purchase agreement signed by the parties on January 14, 2010. (2) The deadline to decide to initiate the second phase of the procedure is February 19, 2010, inclusive. After this date, the notified operation will be considered tacitly authorized. II. APPLICABILITY OF LAW 15/2007 ON THE DEFENSE OF COMPETITION (3) The notified operation is an economic concentration in the sense of Article 7.1 b) of Law 15/2007, of July 3, on the Defense of Competition. (4) The operation is not of community dimension, as it does not reach the thresholds established in paragraphs 2 and 3 of Article 1 of Regulation (EC) No. 139/2004 of the Council, of January 20, 2004, on the control of concentrations between companies. (5) The notified operation meets the requirements set forth by Law 15/2007 as it exceeds the thresholds established in Article 8.1. a) and b) thereof and complies with the requirements set forth in Article 56.1 c) of Law 15/2007. III. PARTICIPATING COMPANIES (6) CAJA DE AHORROS Y PENSIONES DE BARCELONA (“LA CAIXA”) is a private financial company with the legal status of a savings bank that is not controlled by any individual or legal entity, individually or collectively. Its main activities are the collection, management, and investment of the savings entrusted to it. Through its holding company, CRITERIA, LA CAIXA is active in various sectors, including energy, telecommunications, financial services, and insurance. (7) INSURANCE COMPANY ADESLAS (ADESLAS) is a Spanish insurance company authorized by the Directorate General of Insurance and Pension Funds to operate as a national insurance entity. ADESLAS is directly controlled by the Sociedad General de Aguas de Barcelona, S.A. (AGBAR), which owns the majority of its share capital, which in turn is under the ultimate joint control of the Suez Group and LA CAIXA. (8) ADESLAS operates in the Spanish non-life insurance market and, in particular, in health insurance. In addition, ADESLAS is present nationwide in the medical and hospital assistance services sector, having numerous clinical, medical, and hospital centers. IV. ASSESSMENT (9) This Directorate of Investigation considers that the present concentration does not pose a threat to effective competition in the affected markets, as there will be no foreseeable change in their current structure, given that the acquirer already had joint control of the acquired company. V. PROPOSAL In light of all the above and by virtue of Article 57.1 of Law 15/2007, of July 3, on the Defense of Competition, it is proposed to authorize the concentration, pursuant to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