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https://www.cnmc.es/expedientes/c021010</w:t>
      </w:r>
    </w:p>
    <w:p>
      <w:r>
        <w:t>Pages translated : 3</w:t>
      </w:r>
    </w:p>
    <w:p/>
    <w:p>
      <w:r>
        <w:rPr>
          <w:b/>
        </w:rPr>
        <w:t>[Pages 1–3]</w:t>
      </w:r>
    </w:p>
    <w:p>
      <w:r>
        <w:t xml:space="preserve">NATIONAL COMPETITION COMMISSION  </w:t>
        <w:br/>
        <w:t xml:space="preserve">RESOLUTION (File C-0210/10, DFE/DOMO PHARMA)  </w:t>
        <w:br/>
        <w:t xml:space="preserve">COUNCIL  </w:t>
        <w:br/>
        <w:t xml:space="preserve">Mr. Luis Berenguer Fuster, President  </w:t>
        <w:br/>
        <w:t xml:space="preserve">Mr. Fernando Torremocha García-Sáenz, Vice President  </w:t>
        <w:br/>
        <w:t xml:space="preserve">Mr. Emilio Conde Fernández-Oliva, Council Member  </w:t>
        <w:br/>
        <w:t xml:space="preserve">Mr. Miguel Cuerdo Mir, Council Member  </w:t>
        <w:br/>
        <w:t xml:space="preserve">Ms. Pilar Sánchez Núñez, Council Member  </w:t>
        <w:br/>
        <w:t xml:space="preserve">Mr. Julio Costas Comesaña, Council Member  </w:t>
        <w:br/>
        <w:t xml:space="preserve">Ms. Mª Jesús González López, Council Member  </w:t>
        <w:br/>
        <w:t>Ms. Inmaculada Gutiérrez Carrizo, Council Member</w:t>
      </w:r>
    </w:p>
    <w:p>
      <w:r>
        <w:t>In Madrid, on February 17, 2010.</w:t>
      </w:r>
    </w:p>
    <w:p>
      <w:r>
        <w:t>Having reviewed the file processed in accordance with Law 15/2007, of July 3, on the Defense of Competition, regarding the change in the control structure of DOMO PHARMA LACTOSE, currently exclusively controlled by ROYAL FRIESLAND CAMPINA N.V., by DMV-FONTERRA EXCIPIENTS GMBH &amp; CO. KG (DFE), which is jointly controlled by RFC and Fonterra Co-operative Group Limited (File C/0210/10), and being in agreement with the report and proposal submitted by the Research Department, the Council of the National Competition Commission has resolved, pursuant to Article 57.2.a) of the aforementioned Law, to authorize the said concentration operation in the first phase.</w:t>
      </w:r>
    </w:p>
    <w:p>
      <w:r>
        <w:t>This Resolution shall be communicated to the Research Department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RESEARCH DEPARTMENT  </w:t>
        <w:br/>
        <w:t xml:space="preserve">REPORT AND PROPOSAL FOR RESOLUTION  </w:t>
        <w:br/>
        <w:t>FILE C/0210/10 DFE/ DOMO PHARMA</w:t>
      </w:r>
    </w:p>
    <w:p>
      <w:r>
        <w:t>I. BACKGROUND</w:t>
      </w:r>
    </w:p>
    <w:p>
      <w:r>
        <w:t>(1) On January 29, 2010, a notification regarding the change in the control structure of Domo Pharma Lactose (DPL) was submitted to the National Competition Commission (CNC). DPL, currently exclusively controlled by Royal FrieslandCampina N.V. (RFC), will be controlled by DMV-Fonterra Excipients GmbH &amp; Co. KG (DFE), which in turn is jointly controlled by RFC and Fonterra Co-operative Group Limited (Fonterra).</w:t>
      </w:r>
    </w:p>
    <w:p>
      <w:r>
        <w:t>(2) The transaction is structured through an Asset and Lactose Business Sale Agreement that was signed on December 31, 2009.</w:t>
      </w:r>
    </w:p>
    <w:p>
      <w:r>
        <w:t>(3) The deadline to decide to initiate the second phase of the procedure is February 28, 2010, inclusive. After this date, the notified operation will be considered tacitly authorized.</w:t>
      </w:r>
    </w:p>
    <w:p>
      <w:r>
        <w:t>II. APPLICABILITY OF LAW 15/2007 ON THE DEFENSE OF COMPETITION</w:t>
      </w:r>
    </w:p>
    <w:p>
      <w:r>
        <w:t>(4) The notified operation is an economic concentration within the meaning of Article 7.1 b) of the LDC.</w:t>
      </w:r>
    </w:p>
    <w:p>
      <w:r>
        <w:t>(5) The operation is not of community dimension, as it does not reach the thresholds established in paragraphs 2 and 3 of Article 1 of Council Regulation (EC) No. 139/2004 of January 20, 2004, on the control of concentrations between undertakings.</w:t>
      </w:r>
    </w:p>
    <w:p>
      <w:r>
        <w:t>(6) The notified operation meets the requirements set forth by the LDC as it exceeds the threshold established in Article 8.1.a) thereof.</w:t>
      </w:r>
    </w:p>
    <w:p>
      <w:r>
        <w:t>(7) The operation does not fall within any of the cases provided for in Article 56.1 of Law 15/2007, on the Defense of Competition (LDC). However, by analogy with paragraph d) of Article 57.1 of Royal Decree 261/2008, which approves the Regulation on the Defense of Competition (RDC), and the marginal business acquired in Spain, the notifier requests the application of the abbreviated procedure.</w:t>
      </w:r>
    </w:p>
    <w:p>
      <w:r>
        <w:t>III. PARTICIPATING COMPANIES</w:t>
      </w:r>
    </w:p>
    <w:p>
      <w:r>
        <w:t>(8) DPL is a wholly owned subsidiary of RFC. It is engaged in the development and worldwide marketing of components and semi-finished products based on whey and other dairy products.</w:t>
      </w:r>
    </w:p>
    <w:p>
      <w:r>
        <w:t>(9) DFE is a joint venture between RFC and Fonterra. Its activity is to develop, produce, and market excipients for the pharmaceutical industry. DFE produces lactose for pharmaceutical use and other excipients.</w:t>
      </w:r>
    </w:p>
    <w:p>
      <w:r>
        <w:t>IV. ASSESSMENT</w:t>
      </w:r>
    </w:p>
    <w:p>
      <w:r>
        <w:t>(10) Although the European Commission jointly assessed the shares of DFE and DPL in Case COMP/M.5046, Friesland Foods/Campina, it did not explicitly consider the joint control by Fonterra over DPL through DFE, being a new concentration derived from the agreement recently signed by the parties.</w:t>
      </w:r>
    </w:p>
    <w:p>
      <w:r>
        <w:t>(11) On the other hand, it has been deemed reasonable to accept the abbreviated form as notification based on the provisions of Article 57.1.d) of the RDC: “d) When it comes to a joint venture, […] such activities are marginal. The activities of a joint venture will be considered marginal in Spain when its turnover does not exceed or is not expected to exceed 6 million euros,” as well as what is stated in the Commission's Communication on the simplified procedure (paragraph 5), referring to the turnover of the contributed activities or assets transferred to the pre-existing joint venture.</w:t>
      </w:r>
    </w:p>
    <w:p>
      <w:r>
        <w:t>(12) This Research Department considers that the present concentration does not pose a threat to effective competition in the markets, as the acquired business, DPL, was exclusively controlled by RFC, one of the partners that jointly controls the acquirer, DFE. Therefore, the incentives to compete between DPL and DFE in the pharmaceutical lactose markets are null, given that RFC currently controls both companies.</w:t>
      </w:r>
    </w:p>
    <w:p>
      <w:r>
        <w:t>V. PROPOSAL</w:t>
      </w:r>
    </w:p>
    <w:p>
      <w:r>
        <w:t>In light of all the above and by virtue of Article 57.1 of Law 15/2007, of July 3, on the Defense of Competition, it is proposed to authorize the concentration, pursuant to Article 57.2.a) of Law 15/2007, of July 3, on the Defense of Competition.</w:t>
      </w:r>
    </w:p>
    <w:p>
      <w:r>
        <w:t>2 Law 29/2006, of July 26, on guarantees and the rational use of medicines and health products defines excipient as any substance that, included in galenic forms, is added to active ingredients or their combinations to serve as a vehicle, enable their preparation and stability, modify their organoleptic properties, or determine the physicochemical properties of the medicine and its bioavailability.</w:t>
      </w:r>
    </w:p>
    <w:p>
      <w:r>
        <w:t>3 See paragraphs 1721-1769 of Decision COMP/M.5046, Friesland Foods/Campina.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