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https://www.cnmc.es/expedientes/c021410</w:t>
      </w:r>
    </w:p>
    <w:p>
      <w:r>
        <w:t>Pages translated : 13</w:t>
      </w:r>
    </w:p>
    <w:p/>
    <w:p>
      <w:r>
        <w:rPr>
          <w:b/>
        </w:rPr>
        <w:t>[Pages 1–3]</w:t>
      </w:r>
    </w:p>
    <w:p>
      <w:r>
        <w:t>NATIONAL COMMISSION</w:t>
        <w:br/>
        <w:t>FOR COMPETITION</w:t>
        <w:br/>
        <w:t>RESOLUTION (File C-0214/10, ENAGÁS/BBG/JV)</w:t>
        <w:br/>
        <w:t>COUNCIL</w:t>
        <w:br/>
        <w:t>Mr. Luis Berenguer Fuster, President</w:t>
        <w:br/>
        <w:t>Ms. Pilar Sánchez Núñez, Councilor</w:t>
        <w:br/>
        <w:t>Mr. Julio Costas Comesaña, Councilor</w:t>
        <w:br/>
        <w:t>Ms. Mª Jesús González López, Councilor</w:t>
        <w:br/>
        <w:t>Ms. Inmaculada Gutiérrez Carrizo, Councilor</w:t>
        <w:br/>
        <w:t>In Madrid, on March 17, 2010.</w:t>
        <w:br/>
        <w:t>Having reviewed the file processed in accordance with Law 15/2007, of July 3, on the Defense of Competition, regarding the acquisition of joint control over a pre-existing joint venture, BAHÍA DE BIZKAIA GAS S.L. by ENAGÁS S.A., as the new controlling shareholder, and Infrastructure ARZAK BV, ENTE VASCO DE LA ENERGÍA, and REPSOL YPF S.A., as pre-existing controlling shareholders, (File C/0214/10), acting as Rapporteur Mr. Julio Costas Comesaña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C/0214/10 ENAGÁS/BBG/JV</w:t>
        <w:br/>
        <w:t>I. BACKGROUND</w:t>
        <w:br/>
        <w:t>(1) On February 11, 2010, this Directorate of Investigation received notification of the acquisition of joint control over a pre-existing joint venture, Bahía de Bizkaia Gas, S.L. (hereinafter, "BBG") by Enagás, S.A. (hereinafter, "Enagás"), as the new controlling shareholder, and Infrastructure Arzak, BV (hereinafter, "Arzak"), Ente Vasco de la Energía ("EVE"), and Repsol YPF, S.A. ("Repsol"), as pre-existing controlling shareholders.</w:t>
        <w:br/>
        <w:t>(2) This notification has been made by Enagás, Arzak, EVE, and Repsol in accordance with Article 9 of Law 15/2007, of July 3, on the Defense of Competition, for exceeding the thresholds established in letters a and b of Article 8.1. This operation is subject to the provisions of Royal Decree 261/2008, of February 22, which approves the Regulation on the Defense of Competition.</w:t>
        <w:br/>
        <w:t>(3) On February 17, 2010, this Directorate of Investigation requested the report provided for in Article 17.2 c) of Law 15/2007 from the National Energy Commission (CNE), which, by virtue of the provisions of Article 37.2.d) of Law 15/2007, suspends the maximum deadlines for resolution. The report from the CNE was received by the National Commission for Competition (CNC) on March 5, 2010.</w:t>
        <w:br/>
        <w:t>(4)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(5) Furthermore, Article 38.2 of Law 15/2007 adds: "The passage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br/>
        <w:t>(6) In accordance with the above, the deadline to agree to initiate the second phase of the procedure is March 27, 2010, inclusive. Once the deadline for resolution in the first phase has elapsed, the notified operation shall be considered tacitly authorized.</w:t>
        <w:br/>
        <w:t>II. NATURE OF THE OPERATION</w:t>
        <w:br/>
        <w:t>(7) The concentration operation consists of the acquisition of joint control over a pre-existing joint venture, BBG, by Enagás, as the new controlling shareholder, and Arzak, EVE, and Repsol, as pre-existing controlling shareholders.</w:t>
        <w:br/>
        <w:t>(8) The operation is structured through a Share Purchase Agreement signed on September 3, 2009, under which Enagás acquires the stake in BBG from Holdings BBG, LTD, a 100% subsidiary of British Petroleum PLC ("BP").</w:t>
        <w:br/>
        <w:t>(9) The objective of Enagás with the acquisition of a 25% stake in BBG, according to the Parties, is to act consistently with the legal mandate conferred to Enagás as the sole transporter of the primary gas transportation network, the expansion of Enagás' infrastructures and business, participating in the distribution of BBG's profits, and reinforcing the separation of activities.</w:t>
        <w:br/>
        <w:t>(10) The operation is an economic concentration in accordance with the provisions of Article 7.1 b) of the LDC.</w:t>
        <w:br/>
        <w:t>III. APPLICABILITY OF LAW 15/2007 ON THE DEFENSE OF COMPETITION</w:t>
        <w:br/>
        <w:t>(11) The operation falls within the scope of Regulation (EC) No. 139/2004 of the Council, of January 20, on the control of concentrations between companies.</w:t>
        <w:br/>
        <w:t>(12) On February 3, 2010, the European Commission agreed to refer the operation to the CNC in application of the provisions of Article 4(4) of Regulation 139/2004 on the control of concentrations.</w:t>
        <w:br/>
        <w:t>(13) The notified operation also meets the requirements set forth by Law 15/2007 for its notification, as the thresholds established in Article 8.1a) and b) are exceeded.</w:t>
        <w:br/>
        <w:t>IV. PARTICIPATING COMPANIES</w:t>
        <w:br/>
        <w:t>IV.1. Enagás, S.A. (“Enagás”)</w:t>
        <w:br/>
        <w:t>(14) Enagás is the Technical Manager of the Gas System ("GTS") and the Sole Transporter of the primary natural gas network.</w:t>
        <w:br/>
        <w:t>(15) Enagás manages, as a transporter, nearly 8,800 km of high-pressure gas pipelines (over 16 bar), which represents a significant proportion (96%) of the total Spanish network. It is also the owner and operator of three regasification plants (Barcelona, Cartagena, and Huelva) and the underground natural gas storage in Serrablo (Huesca).</w:t>
        <w:br/>
        <w:t>(16) Enagás has joint controlling shareholdings (50% of voting rights) in four companies whose purpose is the construction and subsequent operation of the high-pressure pipelines Tarifa-Córdoba, Córdoba-Campo Maior, Campo Maior-Leiria-Braga, and Braga-Tui.</w:t>
        <w:br/>
        <w:t>(17) Its shareholding structure includes Sagane Inversiones, Cajastur, Bancaja Inversiones, Bilbao Bizkaia Kutxa, SEPI (State Society of Industrial Participations).</w:t>
      </w:r>
    </w:p>
    <w:p>
      <w:r>
        <w:rPr>
          <w:b/>
        </w:rPr>
        <w:t>[Pages 4–6]</w:t>
      </w:r>
    </w:p>
    <w:p>
      <w:r>
        <w:t>DIRECTORATE OF INVESTIGATION</w:t>
      </w:r>
    </w:p>
    <w:p>
      <w:r>
        <w:t>Industriales) and Oman Oil Holding Spain, all of them holding 5% of the capital. The remaining share capital (70%) is listed on the Madrid Stock Exchange.</w:t>
      </w:r>
    </w:p>
    <w:p>
      <w:r>
        <w:t>(18) The turnover of Enagás in the last financial year, according to Article 5 of R.D. 261/2008, is, according to the notifier, as follows:</w:t>
      </w:r>
    </w:p>
    <w:p>
      <w:r>
        <w:t>TURNOVER OF ENAGÁS IN 2008</w:t>
        <w:br/>
        <w:t>(millions of euros)</w:t>
        <w:br/>
        <w:t>WORLDWIDE EU SPAIN</w:t>
        <w:br/>
        <w:t>[&lt;2,500]</w:t>
      </w:r>
    </w:p>
    <w:p>
      <w:r>
        <w:t>IV.2. Bahía de Bizkaia Gas, S.L. (“BBG”)</w:t>
      </w:r>
    </w:p>
    <w:p>
      <w:r>
        <w:t>(19) BBG is a joint venture established by ARZAK, BP, EVE, and REPSOL, with each participant holding 25% of the capital.</w:t>
      </w:r>
    </w:p>
    <w:p>
      <w:r>
        <w:t>(20) BBG manages the commercial operations and maintenance of the regasification plant of the joint venture, located in Bilbao (Spain).</w:t>
      </w:r>
    </w:p>
    <w:p>
      <w:r>
        <w:t>(21) The turnover of BBG in the last financial year, according to Article 5 of R.D. 261/2008, is, according to the notifier, as follows:</w:t>
      </w:r>
    </w:p>
    <w:p>
      <w:r>
        <w:t>TURNOVER OF BBG IN 2008</w:t>
        <w:br/>
        <w:t>(millions of euros)</w:t>
        <w:br/>
        <w:t>WORLDWIDE EU SPAIN</w:t>
        <w:br/>
        <w:t>[&lt;2,500] [&lt;250] [&gt;60]</w:t>
      </w:r>
    </w:p>
    <w:p>
      <w:r>
        <w:t>IV.3. Infrastructure Arzak, BV (“Arzak”)</w:t>
      </w:r>
    </w:p>
    <w:p>
      <w:r>
        <w:t>(22) Arzak is a 100% subsidiary of the RREEF Pan-European Infrastructure Fund LP, which is, in turn, a private investment fund managed by RREEF Limited, a subsidiary of Deutsche Bank.</w:t>
      </w:r>
    </w:p>
    <w:p>
      <w:r>
        <w:t>(23) Arzak holds a 25% stake in BBG and a 30% stake in Saggas, S.A., recently acquired by its parent, RREEF Fund, from Iberdrola.</w:t>
      </w:r>
    </w:p>
    <w:p>
      <w:r>
        <w:t>(24) According to the notifier, the turnover of Deutsche Bank in 2008, according to Article 5 of R.D. 261/2008, was as follows:</w:t>
      </w:r>
    </w:p>
    <w:p>
      <w:r>
        <w:t>TURNOVER OF DEUTSCHE BANK IN 2008</w:t>
        <w:br/>
        <w:t>(millions of euros)</w:t>
        <w:br/>
        <w:t>WORLDWIDE EU SPAIN</w:t>
        <w:br/>
        <w:t>[&gt;2,500] [&gt;250] [&gt;60]</w:t>
      </w:r>
    </w:p>
    <w:p>
      <w:r>
        <w:t>IV.4. Repsol YPF, S.A. (“Repsol”)</w:t>
      </w:r>
    </w:p>
    <w:p>
      <w:r>
        <w:t>(25) Repsol is the Spanish parent company of the REPSOL YPF Group, active in all phases of the oil business, including the exploration, development, and production of crude oil and natural gas, the transportation of petroleum products, LPG, and natural gas, oil refining, petrochemical production, and the marketing of petroleum products, petrochemical products, LPG, and natural gas.</w:t>
      </w:r>
    </w:p>
    <w:p>
      <w:r>
        <w:t>(26) It holds the Gaviota underground storage together with Murphy Spain Oil Company.</w:t>
      </w:r>
    </w:p>
    <w:p>
      <w:r>
        <w:t>(27) Its shares are listed on the stock exchanges of Madrid, New York, and Buenos Aires, and it is not under the control of any individual or legal entity. Repsol jointly controls, along with La Caixa, Gas Natural, which is active in the procurement, distribution, and supply of natural gas.</w:t>
      </w:r>
    </w:p>
    <w:p>
      <w:r>
        <w:t>(28) The turnover of Repsol in the last financial year, according to Article 5 of R.D. 261/2008, is, according to the notifier, as follows:</w:t>
      </w:r>
    </w:p>
    <w:p>
      <w:r>
        <w:t>TURNOVER OF REPSOL IN 2008</w:t>
        <w:br/>
        <w:t>(millions of euros)</w:t>
        <w:br/>
        <w:t>WORLDWIDE EU SPAIN</w:t>
        <w:br/>
        <w:t>[&gt;2,500] [&gt;250] [&gt;60]</w:t>
      </w:r>
    </w:p>
    <w:p>
      <w:r>
        <w:t>IV.5. Ente Vasco de la Energía (“EVE”)</w:t>
      </w:r>
    </w:p>
    <w:p>
      <w:r>
        <w:t>(29) A public entity of the Autonomous Community of the Basque Country that operates in the energy sector and other related fields, such as mining and geology. EVE, in its capacity as a public entity, has no private partners and is participated in and directed by the Government of the Autonomous Community of the Basque Country.</w:t>
      </w:r>
    </w:p>
    <w:p>
      <w:r>
        <w:t>(30) EVE jointly controls, along with EDP/Hidrocantábrico, Naturgas, which is active in the procurement, distribution, and supply of natural gas.</w:t>
      </w:r>
    </w:p>
    <w:p>
      <w:r>
        <w:t>(31) The turnover of EVE in the last financial year, according to Article 5 of R.D. 261/2008, is, according to the notifier, as follows:</w:t>
      </w:r>
    </w:p>
    <w:p>
      <w:r>
        <w:t>TURNOVER OF EVE IN 2008</w:t>
        <w:br/>
        <w:t>(millions of euros)</w:t>
        <w:br/>
        <w:t>WORLDWIDE EU SPAIN</w:t>
        <w:br/>
        <w:t>[&lt;2,500] [&lt;250] [&gt;60]</w:t>
      </w:r>
    </w:p>
    <w:p>
      <w:r>
        <w:t>V. RELEVANT MARKETS</w:t>
      </w:r>
    </w:p>
    <w:p>
      <w:r>
        <w:t>V.1 Product Markets</w:t>
      </w:r>
    </w:p>
    <w:p>
      <w:r>
        <w:t>(32) The economic sector in which the operation is framed is the gas sector, concerning the reception, storage, and regasification of natural gas. These activities are classified under NACE code D35.2: Production of gas, distribution of gaseous fuels through pipelines.</w:t>
      </w:r>
    </w:p>
    <w:p>
      <w:r>
        <w:t>(33) The production process carried out by BBG includes the reception, storage, and regasification of natural gas. Liquefied natural gas arrives at the plant in LNG (liquefied natural gas) transport ships, is stored, returned to its gaseous state, and, after being measured and odorized, is channeled to the general gas network.</w:t>
      </w:r>
    </w:p>
    <w:p>
      <w:r>
        <w:t>(34) According to national and community precedents, the gas sector is divided into different markets according to the stage of the production and distribution process in which the product is located. In case C/0098/08 Gas Natural/Unión Fenosa, the market for import infrastructures (including regasification plants and pipelines and underground storage) and the basic high-pressure gas transport network (primary network, with a pressure above 60 bars, and secondary network, with a pressure above 16 bars) was broadly defined.</w:t>
      </w:r>
    </w:p>
    <w:p>
      <w:r>
        <w:t>(35) According to certain community precedents, the basic high-pressure natural gas transport network constitutes a differentiated product market from the import infrastructures and underground storage. Although there is no overlap in this market, Enagás's share is above 25%, so it is also affected by the operation.</w:t>
      </w:r>
    </w:p>
    <w:p>
      <w:r>
        <w:t>(36) On the other hand, in line with the CNE report and certain community precedents, import infrastructures and underground storage could constitute separate product markets, to the extent that although both are used for gas injection into the system, underground storage is more associated with the provision of flexibility and security of supply, while regasification plants and pipelines aim to import gas.</w:t>
      </w:r>
    </w:p>
    <w:p>
      <w:r>
        <w:t>(37) However, according to the notifiers, storage facilities should be included in the import infrastructure market, since storage acts as a "waiting area" for gas that has been imported but will not yet be used. Therefore, the natural gas deposited in storage is part of the available capacity for supply, along with that coming from regasification plants and international pipelines, so that all this gas would be perfectly interchangeable.</w:t>
      </w:r>
    </w:p>
    <w:p>
      <w:r>
        <w:rPr>
          <w:b/>
        </w:rPr>
        <w:t>[Pages 7–9]</w:t>
      </w:r>
    </w:p>
    <w:p>
      <w:r>
        <w:t>DIRECTORATE OF INVESTIGATION</w:t>
      </w:r>
    </w:p>
    <w:p>
      <w:r>
        <w:t>from the demand perspective. Additionally, the notifying parties indicate that regasification plants, pipelines, and storage facilities are regulated, supervised, and planned jointly.</w:t>
      </w:r>
    </w:p>
    <w:p>
      <w:r>
        <w:t>(38) However, to the extent that the conclusions regarding the present operation are not altered by the exact definition of the product market adopted, this Directorate of Investigation does not consider it necessary to reach a precise conclusion on the scope of the market.</w:t>
      </w:r>
    </w:p>
    <w:p>
      <w:r>
        <w:t>V.2 Geographic Markets</w:t>
      </w:r>
    </w:p>
    <w:p>
      <w:r>
        <w:t>(39) According to the aforementioned national and community precedents, the geographic scope of the import infrastructures would be national.</w:t>
      </w:r>
    </w:p>
    <w:p>
      <w:r>
        <w:t>(40) In the Decision to refer the present matter to the CNC, dated February 3, 2010, the Commission considers that the geographic market is national. The notifying parties also consider that for the purposes of this case, the relevant market is national and limited to Spain.</w:t>
      </w:r>
    </w:p>
    <w:p>
      <w:r>
        <w:t>(41) The CNE Report concludes, regarding the determination of the geographic market, that since transporters generally operate based on national administrative authorizations, the conditions for third-party access to the infrastructures are homogeneous at the national level, and considering that there are still significant limitations in the process of integrating European markets regarding import infrastructures, the relevant market cannot be considered larger than national.</w:t>
      </w:r>
    </w:p>
    <w:p>
      <w:r>
        <w:t>(42) In accordance with the above, it is considered that the relevant geographic scope of the import infrastructures is national.</w:t>
      </w:r>
    </w:p>
    <w:p>
      <w:r>
        <w:t>(43) On the other hand, the transport market is national, based on the fact that the transport tariff is postal and that the technical system manager, Enagás, is responsible for ensuring the viability of the system throughout the national territory.</w:t>
      </w:r>
    </w:p>
    <w:p>
      <w:r>
        <w:t>(44) Notwithstanding the above, it is necessary to take into account that in cases of overcapacity, Enagás introduces zonal segmentations in the transport network, establishing entry or exit obligations or restrictions in the zone. However, these restrictions in the transport network are currently not significant enough to justify subnational supply markets.</w:t>
      </w:r>
    </w:p>
    <w:p>
      <w:r>
        <w:t>VI. MARKET ANALYSIS</w:t>
      </w:r>
    </w:p>
    <w:p>
      <w:r>
        <w:t>VI.1. Supply Structure</w:t>
      </w:r>
    </w:p>
    <w:p>
      <w:r>
        <w:t>(45) The Spanish system of import infrastructures currently has six regasification terminals: Enagás owns the plants in Barcelona, Cartagena, and Huelva; BBG owns the Bilbao plant; Saggas owns the Sagunto plant, and Reganosa owns the Mugardos plant. In total, the regasification capacity of these plants amounts to 1,916 GWh/day, although an increase to 2,083 GWh/day is expected in 2011.</w:t>
      </w:r>
    </w:p>
    <w:p>
      <w:r>
        <w:t>(46) Regarding international connections, there are currently five pipelines connecting Spain with neighboring countries: one connection with Algeria (via Morocco-Tarifa); two connections with France (Col de Larrau and Irún), and two connections with Portugal (Badajoz and Tui). All these pipelines are owned by Enagás, with the exception of the Irún pipeline, and the total capacity amounts to 572 GWh/day (838 GWh/day in 2011, as a result of the commissioning of the Medgaz pipeline in 2010).</w:t>
      </w:r>
    </w:p>
    <w:p>
      <w:r>
        <w:t>(47) Finally, in Spain, there are two underground storages, Serrablo (owned by Enagás) and Gaviota (owned by Repsol), with extraction capacities of 82 GWh/day and 68 GWh/day, respectively.</w:t>
      </w:r>
    </w:p>
    <w:p>
      <w:r>
        <w:t>a) Broad Market of Import Infrastructures in Spain</w:t>
      </w:r>
    </w:p>
    <w:p>
      <w:r>
        <w:t>(48) The following are the shares of the parties and their competitors in terms of production (2008) and capacity (most recent data: November 2009) in the broad market of import infrastructures (including regasification plants, pipelines, and underground storages) in Spain:</w:t>
      </w:r>
    </w:p>
    <w:p>
      <w:r>
        <w:t>IMPORT INFRASTRUCTURE MARKET INCLUDING UNDERGROUND STORAGE BY PRODUCTION AND NOMINAL PRODUCTION CAPACITY</w:t>
      </w:r>
    </w:p>
    <w:p>
      <w:r>
        <w:t>Production 2008 Capacity Nov. 2009 Capacity 2011</w:t>
        <w:br/>
        <w:t>Enagás [60-70%] [70-80%] [60-70%]</w:t>
        <w:br/>
        <w:t>BBG [10-20%] [0-10%] [10-20%]</w:t>
        <w:br/>
        <w:t>Arzak [10-20%] [10-20%] [10-20%]</w:t>
        <w:br/>
        <w:t>Repsol [0-10%] [0-10%] [0-10%]</w:t>
        <w:br/>
        <w:t>Others [0-10%] [0-10%] [10-20%]</w:t>
        <w:br/>
        <w:t>Total 100% 100% 100%</w:t>
        <w:br/>
        <w:t>Source: Notification</w:t>
      </w:r>
    </w:p>
    <w:p>
      <w:r>
        <w:t>(49) In the broad market of import infrastructures (including regasification plants, pipelines, and underground storages) in Spain, the operation will allow Enagás to reach [80-90%] of the total gas import capacity to Spain (addition of [0-10%]). The forecast for 2011 shows a reduction in Enagás's share due to the new pipeline with Algeria (Medgaz) and the expansion of capacity of the current plants, although Enagás has obtained the concession for the construction and operation of the El Musel regasification plant in Gijón, which will come into operation in 2012. On the other hand, in terms of production, the operation will allow Enagás to reach a share of [80-90%] (addition of [10-20%]).</w:t>
      </w:r>
    </w:p>
    <w:p>
      <w:r>
        <w:t>b) Narrow Market of Import Infrastructures in Spain</w:t>
      </w:r>
    </w:p>
    <w:p>
      <w:r>
        <w:t>(50) The following are the shares of the parties and their competitors in terms of production (2008) and capacity (most recent data: November 2009) in the narrow market of import infrastructures (including regasification plants, pipelines, and underground storages) in Spain:</w:t>
      </w:r>
    </w:p>
    <w:p>
      <w:r>
        <w:t>IMPORT INFRASTRUCTURE MARKET BY PRODUCTION AND NOMINAL PRODUCTION CAPACITY</w:t>
      </w:r>
    </w:p>
    <w:p>
      <w:r>
        <w:t>Production 2008 Capacity Nov. 2009 Capacity 2011</w:t>
        <w:br/>
        <w:t>Enagás [60-70%] [70-80%] [60-70%]</w:t>
        <w:br/>
        <w:t>BBG [10-20%] [0-10%] [10-20%]</w:t>
        <w:br/>
        <w:t>Arzak [10-20%] [10-20%] [10-20%]</w:t>
        <w:br/>
        <w:t>Others [0-10%] [0-10%] [10-20%]</w:t>
        <w:br/>
        <w:t>Total 100% 100% 100%</w:t>
        <w:br/>
        <w:t>Source: Notification</w:t>
      </w:r>
    </w:p>
    <w:p>
      <w:r>
        <w:t>(51) If the narrower market (excluding storages) is considered, after the operation, Enagás's share by capacity will rise to [80-90%] (addition of [0-10%]), and to [80-90%] by production (addition of [10-20%]). The forecasts for 2011 show that Enagás's share after the operation will reduce to [70-80%] by capacity.</w:t>
      </w:r>
    </w:p>
    <w:p>
      <w:r>
        <w:t>c) Transport Network Market in Spain</w:t>
      </w:r>
    </w:p>
    <w:p>
      <w:r>
        <w:t>(52) Finally, regarding the transport network market, Enagás holds a share of 96.5% (7,729 km) in terms of capacity of the trunk transport network, and 26.2% (708 km) of the non-trunk transport network. The average utilization of the transport network is 61%.</w:t>
      </w:r>
    </w:p>
    <w:p>
      <w:r>
        <w:t>VI.2. Demand Structure and Prices</w:t>
      </w:r>
    </w:p>
    <w:p>
      <w:r>
        <w:t>(53) The demand for access to the natural gas import infrastructures is exercised by qualified consumers, marketers, and other transporters, in accordance with Article 70 of Law 34/1998, of October 7, on the Hydrocarbons Sector, and Article 4 of Royal Decree 949/2001, of August 3, which regulates third-party access to gas facilities and establishes an integrated economic system for the natural gas sector.</w:t>
      </w:r>
    </w:p>
    <w:p>
      <w:r>
        <w:t>(54) Thus, it is a regulated market both in terms of access to the gas system and in terms of fees and tariffs and the remuneration of activities. According to Articles 5 and 6 of RD 949/2001, requests for access to the system (to a regasification plant or pipeline) are directed to the holder of the relevant infrastructure, who is obliged to redirect the request to Enagás, as GTS, to determine if there is available access capacity. Once the GTS's approval is obtained, the access requester signs a variable-duration access contract with the holder. Neither Enagás, as GTS, nor the holders of the infrastructures have wide margins of maneuver to...</w:t>
      </w:r>
    </w:p>
    <w:p>
      <w:r>
        <w:rPr>
          <w:b/>
        </w:rPr>
        <w:t>[Pages 10–12]</w:t>
      </w:r>
    </w:p>
    <w:p>
      <w:r>
        <w:t>DIRECTORATE OF INVESTIGATION</w:t>
      </w:r>
    </w:p>
    <w:p>
      <w:r>
        <w:t>to deny or accept a specific supply request, as there are imperative rules regulating the rights of third parties.</w:t>
      </w:r>
    </w:p>
    <w:p>
      <w:r>
        <w:t>(55) The remuneration for exercising the right of access is charged to the tariffs or tolls, which apply to all subjects to whom the LSH recognizes such a right. In determining the tolls, the forecasts of natural gas demand, the remuneration for regulated activities, the forecasts for the use of regasification, storage, transportation, and distribution facilities, and, finally, the deviations resulting from the settlements of the previous year are taken into account. Article 25 of RD 949/2001 establishes a mechanism for annual periodic review to update all tolls and rates.</w:t>
      </w:r>
    </w:p>
    <w:p>
      <w:r>
        <w:t>(56) The remuneration for regulated activities is updated every 4 years and aims to ensure the recovery of investments, allow for a reasonable return on the invested financial resources, and determine a cost remuneration system that incentivizes effective management and productivity improvement, which is passed on to users and consumers.</w:t>
      </w:r>
    </w:p>
    <w:p>
      <w:r>
        <w:t>(57) This remuneration is calculated for each regasification, storage, and transportation facility individually and consists of a fixed term and a variable term based on the utilization of the facility. The determination of the costs to be remunerated is calculated taking into account investment costs, operation and maintenance costs, the availability and utilization of the facilities, and other necessary costs for the development of the activities.</w:t>
      </w:r>
    </w:p>
    <w:p>
      <w:r>
        <w:t>(58) Order ITC/3520/2009, of December 28, establishes the tolls and fees associated with third-party access to gas facilities for the year 2010 and updates aspects related to the remuneration of regulated activities.</w:t>
      </w:r>
    </w:p>
    <w:p>
      <w:r>
        <w:t>VI.3. Barriers to Entry</w:t>
      </w:r>
    </w:p>
    <w:p>
      <w:r>
        <w:t>(59) According to the notifier, there are no significant barriers to entry in the market, although, given that it is a regulated market in its various phases, there are a series of technical-economic conditions that must be met for the competent Administration to grant the necessary licenses and authorizations.</w:t>
      </w:r>
    </w:p>
    <w:p>
      <w:r>
        <w:t>(60) In any case, the significant initial investment required for both the construction of pipelines and regasification plants may pose a barrier to new entrants. Likewise, extensive technical knowledge is required for the management of such infrastructures. However, any company with sufficient economic and technical capacity can enter the market through the construction of new infrastructures (subject to administrative authorization) or the acquisition of existing infrastructures.</w:t>
      </w:r>
    </w:p>
    <w:p>
      <w:r>
        <w:t>VII. VALUATION OF THE OPERATION</w:t>
      </w:r>
    </w:p>
    <w:p>
      <w:r>
        <w:t>(61) The operation takes place in the gas sector, regarding the reception, storage, and regasification of natural gas.</w:t>
      </w:r>
    </w:p>
    <w:p>
      <w:r>
        <w:t>(62) In the broad market of gas import infrastructures to Spain (international pipelines, regasification plants, and storage), Enagás will reach a share of [80-90%] (addition of [0-10%]) in terms of production capacity. In the narrower market (pipelines and regasifiers), Enagás's share will rise to [80-90%] (addition of [0-10%]).</w:t>
      </w:r>
    </w:p>
    <w:p>
      <w:r>
        <w:t>(63) Additionally, after the operation, Enagás will have a link with the controlling shareholders of BBG, of which Repsol and Arzak have controlling stakes in other gas import and storage infrastructures. Thus, the combined market share of BBG's shareholders will rise to [90-100%] in the broad market of gas import infrastructures to Spain ([90-100%] without storage). Beyond this consideration, the operation does not change the competitive situation regarding Repsol, BP, and EVE, as these three entities already controlled BBG.</w:t>
      </w:r>
    </w:p>
    <w:p>
      <w:r>
        <w:t>(64) It should also be noted that Enagás owns the majority of the transportation network in Spain (96.5%) and that Law 34/1998, of October 7, on the Hydrocarbons Sector, in its Twentieth Additional Provision, designates Enagás as GTS.</w:t>
      </w:r>
    </w:p>
    <w:p>
      <w:r>
        <w:t>(65) Notwithstanding the above, ownership of import infrastructures does not allow for discretion regarding prices and conditions of their use, as the tolls and access conditions are determined by regulation. In this regard, Article 60 of the aforementioned Hydrocarbons Sector Law guarantees third-party access to the facilities of the basic network and the transportation and distribution facilities under the technical and economic conditions established by the Law.</w:t>
      </w:r>
    </w:p>
    <w:p>
      <w:r>
        <w:t>(66) Thus, Enagás also does not have the capacity, as GTS, to act in a way that benefits one plant or facility to the detriment of others. Enagás performs its function as GTS through a Specific Organic Unit, independent of the rest of Enagás's activities and subject to a Code of Conduct, which aims to ensure access to the transportation network under fair and non-discriminatory conditions. Furthermore, Law 12/2007, of July 2, on the Hydrocarbons Sector created the Technical Management Monitoring Committee of the Energy System, which somewhat oversees that Enagás's activity as system coordinator is carried out transparently, objectively, and independently. This circumstance is also observed in the fact that currently the regasification plants controlled by Enagás have a utilization rate of their capacity below the average.</w:t>
      </w:r>
    </w:p>
    <w:p>
      <w:r>
        <w:t>(67) It is also not expected that the operation will reduce competition in terms of reference competition for setting tolls in import infrastructures. The tolls and fees set by regulation are linked to, among other factors, the remuneration of regulated activities. In turn, regulated activities present a remuneration based on costs. The fact that after the operation Enagás will control more than [80-90%] of the gas import infrastructures, along with possible asymmetric information problems, could give Enagás greater power to determine the regulated profitability of the infrastructures. However, it is estimated that the number of infrastructures that will remain independent of Enagás, combined with the upcoming commissioning of the Medgaz pipeline in the Spanish system (which will result in a capacity increase of up to 9%), are sufficient elements to offset this potential risk.</w:t>
      </w:r>
    </w:p>
    <w:p>
      <w:r>
        <w:t>(68) Furthermore, the fact that Enagás is vertically integrated with the transportation network does not pose a risk to maintaining effective competition, as the tariffs and tolls and the access conditions for these assets are also regulated and subject to the ATR regime, so that Enagás's vertical reinforcement does not grant it capacity nor create or modify its incentives to use its position in one market to affect the competitive conditions of the other.</w:t>
      </w:r>
    </w:p>
    <w:p>
      <w:r>
        <w:t>(69) Finally, the above considerations are equally applicable in that the link that Enagás acquires with the other shareholders of BBG does not provide it with incentives to use its preeminent position in the gas import infrastructure and transportation network markets to benefit Repsol or EVE in the supply or procurement markets, nor do they have the capacity to force Enagás to benefit them in these markets.</w:t>
      </w:r>
    </w:p>
    <w:p>
      <w:r>
        <w:t>(70) These considerations align with the CNE report, which concludes that the high degree of concentration of ownership of gas import facilities, and its increase as a result of the notified operation, should not be interpreted as an indicator of negative effects on competition, since all analyzed assets are subject to a strict regulated third-party access regime, regulated technical management rules, and binding centralized planning.</w:t>
      </w:r>
    </w:p>
    <w:p>
      <w:r>
        <w:t>(71) Taking all of the above into account, it is not expected that the operation will pose a threat to competition in the analyzed market, so it is susceptible to being approved in the first phase without commitments.</w:t>
      </w:r>
    </w:p>
    <w:p>
      <w:r>
        <w:rPr>
          <w:b/>
        </w:rPr>
        <w:t>[Pages 13–13]</w:t>
      </w:r>
    </w:p>
    <w:p>
      <w:r>
        <w:t xml:space="preserve">DIRECTORATE OF INVESTIGATION  </w:t>
        <w:br/>
        <w:t xml:space="preserve">VIII. PROPOSAL  </w:t>
        <w:br/>
        <w:t xml:space="preserve">In light of all the above and pursuant to Article 57.1 of Law 15/2007, of July 3, on the Defense of Competition, it is proposed to authorize the concentration, in application of Article 57.2.a) of Law 15/2007, of July 3, on the Defense of Competition.  </w:t>
        <w:br/>
        <w:t>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