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https://www.cnmc.es/expedientes/c022010</w:t>
      </w:r>
    </w:p>
    <w:p>
      <w:r>
        <w:t>Pages translated : 13</w:t>
      </w:r>
    </w:p>
    <w:p/>
    <w:p>
      <w:r>
        <w:rPr>
          <w:b/>
        </w:rPr>
        <w:t>[Pages 1–3]</w:t>
      </w:r>
    </w:p>
    <w:p>
      <w:r>
        <w:t xml:space="preserve">NATIONAL COMMISSION  </w:t>
        <w:br/>
        <w:t xml:space="preserve">FOR COMPETITION  </w:t>
        <w:br/>
        <w:t xml:space="preserve">RESOLUTION (File C-0220/10, MEDTRONIC/INVATEC/FOGAZZI/KRAUTH)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April 14, 2010.  </w:t>
        <w:br/>
        <w:t xml:space="preserve">Having reviewed the file processed in accordance with Law 15/2007, of July 3, on the Defense of Competition, regarding the acquisition by MEDTRONIC INC. of exclusive control over INVATEC S.P.A., FOGAZZI S.R.L. and KRAUTH CARDIO-VASCULAR GMBH (File C/0220/10),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C/0220/10 MEDTRONIC / INVATEC / FOGAZZI / KRAUTH  </w:t>
        <w:br/>
        <w:t xml:space="preserve">I. BACKGROUND  </w:t>
        <w:br/>
        <w:t xml:space="preserve">(1) On March 10, 2010, this Directorate of Investigation received notification of the acquisition by MEDTRONIC INC. (“MEDTRONIC”) of exclusive control over INVATEC S.P.A. (“INVATEC”), FOGAZZI S.R.L. (“FOGAZZI”), and KRAUTH CARDIO-VASCULAR GMBH (“KRAUTH”).  </w:t>
        <w:br/>
        <w:t xml:space="preserve">(2) This notification has been made by MEDTRONIC in accordance with Article 9 of Law 15/2007, of July 3, on the Defense of Competition, for exceeding the threshold established in letter a) of its Article 8.1. This operation is subject to the provisions of Royal Decree 261/2008, of February 22, which approves the Regulation on the Defense of Competition.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control of concentrations shall determine the approval of the corresponding request by administrative silence, except in the cases provided for in Articles 9.5, 55.5, and 57.2.d) of this Law.”  </w:t>
        <w:br/>
        <w:t xml:space="preserve">(5) On March 23, the notifying party provided a correction of the market shares initially communicated. In light of the above, exercising the provisions of Article 55 of Law 15/2007, this Directorate of Investigation requested from the notifying party on March 26, 2010, necessary information for the resolution of the file. The requested information was completed on March 30.  </w:t>
        <w:br/>
        <w:t xml:space="preserve">(6) According to the above, the deadline to agree to initiate the second phase of the procedure is April 14, 2010, inclusive. Once the period for resolving in the first phase has elapsed, the notified operation shall be deemed tacitly authorized.  </w:t>
        <w:br/>
        <w:t xml:space="preserve">II. NATURE OF THE OPERATION  </w:t>
        <w:br/>
        <w:t xml:space="preserve">(7) The concentration operation consists of the acquisition by MEDTRONIC of exclusive control over INVATEC, FOGAZZI, and KRAUTH.  </w:t>
        <w:br/>
        <w:t xml:space="preserve">(8) The operation is structured through a single Sale and Purchase Agreement signed on January 22, 2010, under which MEDTRONIC -through its subsidiary […]1- acquires 100% of the outstanding shares and all related rights of the mentioned companies.  </w:t>
        <w:br/>
        <w:t xml:space="preserve">1 The information whose exact content has been declared confidential is indicated in brackets.  </w:t>
        <w:br/>
        <w:t xml:space="preserve">(9) The Sale and Purchase Agreement is subject to a suspensive condition relating to the approval of the operation by the Spanish, German, and Austrian competition authorities2.  </w:t>
        <w:br/>
        <w:t xml:space="preserve">(10) The operation is an economic concentration in accordance with the provisions of Article 7.1.b) of the LDC.  </w:t>
        <w:br/>
        <w:t xml:space="preserve">III. APPLICABILITY OF LAW 15/2007 ON THE DEFENSE OF COMPETITION  </w:t>
        <w:br/>
        <w:t xml:space="preserve">(11) According to the notifying party, the operation does not fall within the scope of Regulation (EC) No. 139/2004 of the Council, of January 20, on the control of concentrations between undertakings.  </w:t>
        <w:br/>
        <w:t xml:space="preserve">(12) However, the notified operation meets the requirements set forth by Law 15/2007 for its notification in Spain, as it exceeds the threshold established in Article 8.1.a) thereof.  </w:t>
        <w:br/>
        <w:t xml:space="preserve">IV. PARTICIPATING COMPANIES  </w:t>
        <w:br/>
        <w:t xml:space="preserve">IV.1. MEDTRONIC INC. (“MEDTRONIC”)  </w:t>
        <w:br/>
        <w:t xml:space="preserve">(13) MEDTRONIC is a multinational company headquartered in Minneapolis (Minnesota) and whose shares are listed on the New York Stock Exchange. It is globally present in the medical technology sector (NACE Code 32.5), operating mainly in six business areas: (i) devices for spinal surgery; (ii) devices for neurological surgery; (iii) otorhinolaryngology; (iv) diabetes; (v) devices for cardiac rhythm control; and (vi) devices for cardiovascular surgery.  </w:t>
        <w:br/>
        <w:t xml:space="preserve">(14) The operation affects the business area of cardiovascular devices, in which MEDTRONIC manufactures and markets a wide range of products for the diagnosis and treatment of aortic, coronary, and structural heart pathologies. Within this business area, MEDTRONIC has specialized in devices for coronary surgery, and through this operation, it seeks to expand and develop its business in the endovascular area (peripheral circulation).  </w:t>
        <w:br/>
        <w:t xml:space="preserve">(15) In Spain, it operates through its subsidiary MEDTRONIC IBERIA S.A.  </w:t>
        <w:br/>
        <w:t xml:space="preserve">(16) The turnover of MEDTRONIC in the last financial year, according to Art. 5 of R.D. 261/2008, is, according to the notifying party, as follows:  </w:t>
        <w:br/>
        <w:t xml:space="preserve">MEDTRONIC TURNOVER IN 2009  </w:t>
        <w:br/>
        <w:t xml:space="preserve">(millions of euros)  </w:t>
        <w:br/>
        <w:t xml:space="preserve">GLOBAL EU SPAIN  </w:t>
        <w:br/>
        <w:t xml:space="preserve">&lt;10,000 &lt;2,500 &lt;500  </w:t>
        <w:br/>
        <w:t xml:space="preserve">Source: Notification  </w:t>
        <w:br/>
        <w:t xml:space="preserve">2 On March 22, 2010, the notifying party informed this Directorate of Investigation that the German and Austrian authorities had approved the operation.  </w:t>
        <w:br/>
        <w:t>2</w:t>
      </w:r>
    </w:p>
    <w:p>
      <w:r>
        <w:rPr>
          <w:b/>
        </w:rPr>
        <w:t>[Pages 4–6]</w:t>
      </w:r>
    </w:p>
    <w:p>
      <w:r>
        <w:t xml:space="preserve">DIRECTORATE OF INVESTIGATION  </w:t>
        <w:br/>
        <w:t xml:space="preserve">IV.2. INVATEC S.P.A. (“INVATEC”), FOGAZZI S.R.L. (“FOGAZZI”) and KRAUTH CV GMBH (“KRAUTH”).  </w:t>
        <w:br/>
        <w:t xml:space="preserve">(17) INVATEC is a non-listed company, incorporated under the laws of Italy and with its registered office in Brescia (Italy). Currently, all its capital is held by four individuals and three commercial investors. It is active in the manufacture and sale of cardiovascular devices. In Europe, it has two subsidiaries: INVATEC TECHNOLOGY CENTER GMBH, active in R&amp;D and the manufacture of stents, and INVATEC ITALIA S.R.L., which operates in the distribution market.  </w:t>
        <w:br/>
        <w:t xml:space="preserve">(18) FOGAZZI is a non-listed company, with its registered office in Brescia (Italy), jointly controlled by 5 shareholders. It supplies INVATEC almost exclusively with plastic components for the manufacture of its products. It is also involved in the R&amp;D of plastic polymers. It does not generate any turnover in Spain.  </w:t>
        <w:br/>
        <w:t xml:space="preserve">(19) KRAUTH is a non-listed company, with its registered office in Hamburg, and controlled by the German partnership Krauth Medical KG. It is the exclusive distributor of INVATEC in Germany. It also does not generate any turnover in Spain.  </w:t>
        <w:br/>
        <w:t xml:space="preserve">(20) The consolidated turnover of the acquired companies in the last financial year, according to Art. 5 of R.D. 261/2008, is, according to the notifier, as follows:  </w:t>
        <w:br/>
        <w:t xml:space="preserve">VOLUME OF BUSINESS OF INVATEC, FOGAZZI AND KRAUTH IN 2009  </w:t>
        <w:br/>
        <w:t xml:space="preserve">(millions of euros)  </w:t>
        <w:br/>
        <w:t xml:space="preserve">GLOBAL EU SPAIN  </w:t>
        <w:br/>
        <w:t xml:space="preserve">&gt;100 &lt;100 &lt;50  </w:t>
        <w:br/>
        <w:t xml:space="preserve">Source: Notification  </w:t>
        <w:br/>
        <w:t xml:space="preserve">V. RELEVANT MARKETS  </w:t>
        <w:br/>
        <w:t xml:space="preserve">V.1 Product Markets  </w:t>
        <w:br/>
        <w:t xml:space="preserve">(21) The economic sector in which the operation is framed is the manufacture and sale of medical devices - NACE Code 32.5 - and, in particular, of devices for the surgical treatment of cardiovascular diseases.  </w:t>
        <w:br/>
        <w:t xml:space="preserve">(22) This sector has been previously analyzed by both the European Commission and the National Competition Commission. It includes the set of mechanical devices used in minimally invasive interventions for the treatment of cardiovascular diseases.  </w:t>
        <w:br/>
        <w:t xml:space="preserve">(23) The European Commission differentiates in the aforementioned precedents between devices used in cardiological (coronary) interventions and those used for the treatment of peripheral vascular conditions (endovascular). Within each of these two areas, the Commission has identified different relevant product markets.  </w:t>
        <w:br/>
        <w:t xml:space="preserve">a) Cardiological or coronary intervention devices  </w:t>
        <w:br/>
        <w:t xml:space="preserve">(24) Cardiological intervention devices are used in coronary angioplasties (PCI, for its acronym in English).  </w:t>
        <w:br/>
        <w:t xml:space="preserve">(25) Coronary angioplasty is a minimally invasive intervention that treats ischemic heart disease without the need for surgery. It is an alternative intervention to bypass surgery, which typically includes a balloon angioplasty, a procedure in which a special balloon catheter is inserted through the radial or femoral artery and guided to the site of the vessel obstruction with the help of a steerable guide wire. The balloon is then inflated, compressing the plaque against the walls of the vessel and widening the diameter of the lumen, thereby improving blood flow. Once the angioplasty is completed, doctors usually place a coronary stent at the site of the obstruction to help the damaged arteries maintain flow. The placement of stents carries the risk of tissue growth in the area where it has been placed (restenosis). To prevent this from happening, drug-eluting balloon (DEB) and drug-eluting stent (DES) catheters have recently been developed, which incorporate a drug and a release mechanism.  </w:t>
        <w:br/>
        <w:t xml:space="preserve">(26) These interventions typically involve an additional risk: that small particles of the thrombus may detach, causing blockage of the arteries or other secondary branches. To prevent embolization of the arteries and distal migration of thrombi, several mechanical devices known as distal protection or anti-embolic devices (DPA) have been developed.  </w:t>
        <w:br/>
        <w:t xml:space="preserve">(27) The parties operate in the following product market segments within the scope of coronary devices:  </w:t>
        <w:br/>
        <w:t xml:space="preserve">• Stents: the aforementioned precedents have distinguished between bare metal stents (BMS), designed to prevent the blood vessel from closing again, and drug-eluting stents (DES). DES and BMS constitute distinct product markets as, although they have a similar structure and implantation system, DES incorporates a series of specific elements (a drug and a progressive release mechanism) that make them technically more sophisticated and subject to a different administrative approval procedure. Furthermore, there is no significant correlation between the price of both products, there is no substitutability of supply, and their uses and clinical outcomes are different. While the activities of the parties overlap in the BMS market, only MEDTRONIC operates in the DES market.  </w:t>
        <w:br/>
        <w:t xml:space="preserve">• Balloon catheters for percutaneous transluminal angioplasties (PTCA): these are long, flexible tubes that have a balloon at one end that is inflated to widen the artery. They are offered in a wide variety of sizes and types. Both MEDTRONIC and INVATEC are present in this market.  </w:t>
        <w:br/>
        <w:t xml:space="preserve">• Drug-eluting balloon (DEB) catheters for coronary interventions: although mechanically very similar to PTCA, they have a different therapeutic use, as their function is solely to deliver a drug to the site previously treated with a PTCA to prevent restenosis. Their marketing was approved in 2009, so although the precedents do not address whether they constitute a separate product market or belong to the same market as PTCA, the arguments used in the case of stents can be extended to consider that PTCA and DEB balloon catheters belong to different product markets. Only INVATEC, which obtained the first European approval, is present in this segment.  </w:t>
        <w:br/>
        <w:t xml:space="preserve">• Steerable guide wires used in coronary interventions: these are very thin and flexible wires used to place catheters in the arteries. Only MEDTRONIC is present in this market.  </w:t>
        <w:br/>
        <w:t xml:space="preserve">• Guide catheters: they are used as support for other devices. According to the Commission, they also constitute a separate market. Only MEDTRONIC is present in this market.  </w:t>
        <w:br/>
        <w:t>• Distal protection devices (DPA): in the cited precedents, the Commission considers that, given the characteristics of these products and their therapeutic use, anti-embolic protection devices constitute a separate market. However, the notifier raises the possibility that aspiration catheters may constitute, within the DPAs, a separate market because (i) the technical characteristics and therapeutic use of aspiration catheters are different from those of other DPAs, and (ii) there does not appear to be substitutability between these and other devices. This Directorate of Investigation considers that, for the purposes of this operation, this issue can be left open, so the effects of the concentration will be analyzed on the broad DPA market as well as on the specific market of aspiration catheters.</w:t>
      </w:r>
    </w:p>
    <w:p>
      <w:r>
        <w:rPr>
          <w:b/>
        </w:rPr>
        <w:t>[Pages 7–9]</w:t>
      </w:r>
    </w:p>
    <w:p>
      <w:r>
        <w:t xml:space="preserve">DIRECTORATE OF INVESTIGATION  </w:t>
        <w:br/>
        <w:t xml:space="preserve">the narrower segment of aspiration catheters, in which both the acquirer and the acquired are present.  </w:t>
        <w:br/>
        <w:t xml:space="preserve">b) Endovascular or peripheral devices  </w:t>
        <w:br/>
        <w:t xml:space="preserve">(28) Endovascular (or peripheral) devices are used in minimally invasive treatments of peripheral vascular diseases caused by the accumulation of fats or the presence of blood clots in the vessels that impede blood supply to the brain (carotid arteries), kidneys (renal arteries), lower abdomen and legs (iliac arteries), legs and thighs (femoral arteries), and other vital organs. These procedures are similar to those described above for coronary conditions, although their users are different: primarily interventional radiologists ([...]) and vascular surgeons ([...]), and, more rarely, interventional cardiologists ([...]).  </w:t>
        <w:br/>
        <w:t xml:space="preserve">(29) The Commission, in the aforementioned precedents, considers that these devices should be treated separately from coronary devices and distinguishes a number of narrower markets within them. The Parties operate in the following product markets for endovascular devices:  </w:t>
        <w:br/>
        <w:t xml:space="preserve">• Endovascular stents: they are similar to coronary stents, although there is no substitutability between the two types. The Commission distinguishes three types of peripheral stents that constitute separate markets: BX balloon-expandable stents, SX non-carotid stents, and SX carotid stents. The former are technically similar to BMS and are placed using a balloon catheter. SX stents are self-expanding (do not require a balloon) and are placed with a standard catheter11. Furthermore, the Commission has concluded that within self-expanding stents, it is necessary to distinguish carotid stents, used in the treatment of the main arteries of the head and neck, from the others, because they have a special design and are subject to a specific approval procedure. INVATEC is present in all three indicated markets, while MEDTRONIC only markets BX stents and non-carotid SX stents.  </w:t>
        <w:br/>
        <w:t xml:space="preserve">• Endovascular steerable guides: available in different shapes and sizes, they differ from coronary ones in terms of design, size, flexibility, and profile. Both parties are present in this market.  </w:t>
        <w:br/>
        <w:t xml:space="preserve">• Balloon catheters for percutaneous transluminal angioplasty (PTA): Their function is also to mechanically open the obstruction of an artery. Only INVATEC operates in this market.  </w:t>
        <w:br/>
        <w:t xml:space="preserve">• Drug-eluting balloon (DEB) catheters for endovascular interventions: there are no precedents that define this segment as a separate product market, as they began to be marketed in 2009. However, the same arguments used in the case of coronary DEB catheters justify the existence of a differentiated market for peripheral DEB catheters. INVATEC received the first CE approval to market this product from the second half of 2009.  </w:t>
        <w:br/>
        <w:t xml:space="preserve">V.2 Geographic Markets  </w:t>
        <w:br/>
        <w:t xml:space="preserve">(30) In the cited precedents, it has been considered that the markets for cardiovascular devices are national in nature, due to the existence of different bidding and reimbursement procedures, price differences in the EEA countries, and the need, in most cases, to have a local distributor.  </w:t>
        <w:br/>
        <w:t xml:space="preserve">VI. MARKET ANALYSIS  </w:t>
        <w:br/>
        <w:t xml:space="preserve">VI.1. Supply Structure  </w:t>
        <w:br/>
        <w:t xml:space="preserve">(31) According to the data provided by the notifier, the joint share of the parties does not exceed 15% in the following markets in Spain:  </w:t>
        <w:br/>
        <w:t xml:space="preserve">• BX balloon-expandable endovascular stents, in which both parties are present. The resulting share is [10-20]% (addition of [0-10]%).  </w:t>
        <w:br/>
        <w:t xml:space="preserve">• SX carotid stents, in which only INVATEC is present.  </w:t>
        <w:br/>
        <w:t xml:space="preserve">• Endovascular steerable guides, in which both parties are present. The resulting share is [0-10]% (addition of [0-10]%).  </w:t>
        <w:br/>
        <w:t xml:space="preserve">• Balloon catheters for percutaneous transluminal angioplasty (PTA), in which only INVATEC is present with a share of [0-10]%.  </w:t>
        <w:br/>
        <w:t xml:space="preserve">(32) The following are the shares for the affected markets in which the joint share exceeds 15% in Spain:  </w:t>
        <w:br/>
        <w:t xml:space="preserve">(i) Uncoated metal BMS stents in Spain  </w:t>
        <w:br/>
        <w:t xml:space="preserve">UNCOATED METAL BMS STENTS  </w:t>
        <w:br/>
        <w:t xml:space="preserve">COMPANY 2007 2008 2009  </w:t>
        <w:br/>
        <w:t xml:space="preserve">Share Share Share  </w:t>
        <w:br/>
        <w:t xml:space="preserve">Medtronic [20-30]% [20-30]% [20-30]%  </w:t>
        <w:br/>
        <w:t xml:space="preserve">Invatec [0-10]% [0-10]% [0-10]%  </w:t>
        <w:br/>
        <w:t xml:space="preserve">Medtronic + Invatec [20-30]% [20-30]% [20-30]%  </w:t>
        <w:br/>
        <w:t xml:space="preserve">Abbot [40-50]% [40-50]% [40-50]%  </w:t>
        <w:br/>
        <w:t xml:space="preserve">Others [20-30]% [30-40]% [20-30]%  </w:t>
        <w:br/>
        <w:t xml:space="preserve">TOTAL 100% 100% 100%  </w:t>
        <w:br/>
        <w:t xml:space="preserve">Source: Notification  </w:t>
        <w:br/>
        <w:t>7</w:t>
      </w:r>
    </w:p>
    <w:p>
      <w:r>
        <w:t xml:space="preserve">DIRECTORATE OF INVESTIGATION  </w:t>
        <w:br/>
        <w:t xml:space="preserve">(ii) ACTP balloon catheters in Spain  </w:t>
        <w:br/>
        <w:t xml:space="preserve">ACTP BALLOON CATHETERS  </w:t>
        <w:br/>
        <w:t xml:space="preserve">COMPANY 2007 2008 2009  </w:t>
        <w:br/>
        <w:t xml:space="preserve">Share Share Share  </w:t>
        <w:br/>
        <w:t xml:space="preserve">Medtronic [20-30]% [20-30]% [20-30]%  </w:t>
        <w:br/>
        <w:t xml:space="preserve">Invatec [0-10]% [0-10]% [0-10]%  </w:t>
        <w:br/>
        <w:t xml:space="preserve">Medtronic + Invatec [20-30]% [20-30]% [20-30]%  </w:t>
        <w:br/>
        <w:t xml:space="preserve">Boston Scientific [40-50]% [40-50]% [40-50]%  </w:t>
        <w:br/>
        <w:t xml:space="preserve">Abbot [10-20]% [10-20]% [10-20]%  </w:t>
        <w:br/>
        <w:t xml:space="preserve">Others [10-20]% [10-20]% [10-20]%  </w:t>
        <w:br/>
        <w:t xml:space="preserve">TOTAL 100% 100% 100%  </w:t>
        <w:br/>
        <w:t xml:space="preserve">Source: Notification  </w:t>
        <w:br/>
        <w:t xml:space="preserve">(iii) Drug-eluting DEB coronary balloon catheters in Spain  </w:t>
        <w:br/>
        <w:t xml:space="preserve">(33) INVATEC was the first to launch a DEB coronary catheter in the market in the second half of 2009, after obtaining the corresponding CE approval. According to the notifier, INVATEC's share in 2009 would have been [20-30]%, behind B. Braun ([40-50]%) and ahead of Eurocore ([0-10]%) and Aachen Resonance ([0-10]%).  </w:t>
        <w:br/>
        <w:t xml:space="preserve">(iv) Distal protection devices in Spain  </w:t>
        <w:br/>
        <w:t xml:space="preserve">DISTAL PROTECTION DEVICES  </w:t>
        <w:br/>
        <w:t xml:space="preserve">COMPANY 2007 2008 2009  </w:t>
        <w:br/>
        <w:t xml:space="preserve">Share Share Share  </w:t>
        <w:br/>
        <w:t xml:space="preserve">Medtronic [10-20]% [10-20]% [20-30]%  </w:t>
        <w:br/>
        <w:t xml:space="preserve">Invatec [0-10]% [0-10]% [0-10]%  </w:t>
        <w:br/>
        <w:t xml:space="preserve">Medtronic + Invatec [10-20]% [20-30]% [20-30]%  </w:t>
        <w:br/>
        <w:t xml:space="preserve">Boston Scientific [20-30]% [10-20]% [10-20]%  </w:t>
        <w:br/>
        <w:t xml:space="preserve">Izasa [20-30]% [10-20]% [10-20]%  </w:t>
        <w:br/>
        <w:t xml:space="preserve">Abbot [0-10]% [0-10]% [0-10]%  </w:t>
        <w:br/>
        <w:t xml:space="preserve">EV 3 [0-10]% [0-10]% [0-10]%  </w:t>
        <w:br/>
        <w:t xml:space="preserve">Cordis [0-10]% [0-10]% [0-10]%  </w:t>
        <w:br/>
        <w:t xml:space="preserve">Others [10-20]% [20-30]% [30-40]%  </w:t>
        <w:br/>
        <w:t xml:space="preserve">TOTAL 100% 100% 100%  </w:t>
        <w:br/>
        <w:t xml:space="preserve">Source: Notification  </w:t>
        <w:br/>
        <w:t xml:space="preserve">(v) Aspiration catheters in Spain  </w:t>
        <w:br/>
        <w:t xml:space="preserve">ASPIRATION CATHETERS  </w:t>
        <w:br/>
        <w:t xml:space="preserve">COMPANY 2007 2008 2009  </w:t>
        <w:br/>
        <w:t xml:space="preserve">Share Share Share  </w:t>
        <w:br/>
        <w:t xml:space="preserve">Medtronic [20-30]% [30-40]% [30-40]%  </w:t>
        <w:br/>
        <w:t xml:space="preserve">Invatec [0-10]% [0-10]% [0-10]%  </w:t>
        <w:br/>
        <w:t xml:space="preserve">Medtronic + Invatec [30-40]% [30-40]% [30-40]%  </w:t>
        <w:br/>
        <w:t xml:space="preserve">Izasa [40-50]% [20-30]% [10-20]%  </w:t>
        <w:br/>
        <w:t xml:space="preserve">Others [20-30]% [30-40]% [50-60]%  </w:t>
        <w:br/>
        <w:t xml:space="preserve">TOTAL 100% 100% 100%  </w:t>
        <w:br/>
        <w:t xml:space="preserve">Source: Notification  </w:t>
        <w:br/>
        <w:t>8</w:t>
      </w:r>
    </w:p>
    <w:p>
      <w:r>
        <w:rPr>
          <w:b/>
        </w:rPr>
        <w:t>[Pages 10–12]</w:t>
      </w:r>
    </w:p>
    <w:p>
      <w:r>
        <w:t xml:space="preserve">DIRECCIÓN DE INVESTIGACIÓN  </w:t>
        <w:br/>
        <w:t xml:space="preserve">(vi) Non-carotid SX stents in Spain  </w:t>
        <w:br/>
        <w:t xml:space="preserve">NON-CAROTID SX STENTS  </w:t>
        <w:br/>
        <w:t xml:space="preserve">COMPANY 2007 2008 2009  </w:t>
        <w:br/>
        <w:t xml:space="preserve">Share Share Share  </w:t>
        <w:br/>
        <w:t xml:space="preserve">Medtronic [0-10]% [0-10]% [10-20]%  </w:t>
        <w:br/>
        <w:t xml:space="preserve">Invatec [0-10]% [0-10]% [0-10]%  </w:t>
        <w:br/>
        <w:t xml:space="preserve">Medtronic + Invatec [0-10]% [10-20]% [20-30]%  </w:t>
        <w:br/>
        <w:t xml:space="preserve">Boston Scientific [20-30]% [30-40]% [30-40]%  </w:t>
        <w:br/>
        <w:t xml:space="preserve">Abbot [10-20]% [10-20]% [10-20]%  </w:t>
        <w:br/>
        <w:t xml:space="preserve">EV 3 [0-10]% [0-10]% [10-20]%  </w:t>
        <w:br/>
        <w:t xml:space="preserve">Others [40-50]% [20-30]% [0-10]%  </w:t>
        <w:br/>
        <w:t xml:space="preserve">TOTAL 100% 100% 100%  </w:t>
        <w:br/>
        <w:t>Source: Notification</w:t>
      </w:r>
    </w:p>
    <w:p>
      <w:r>
        <w:t xml:space="preserve">(vii) Endovascular drug-eluting balloon catheters DEB in Spain  </w:t>
        <w:br/>
        <w:t xml:space="preserve">(34) INVATEC was the first to launch a peripheral DEB catheter to the market in the second half of 2009, after obtaining the corresponding CE approval. According to the notifier, as early as 2009, three other operators (B. Braun, Eurocore, and Aaschen Resonance) may have started marketing these products. However, the notifier makes a conservative estimate, assuming that it is the only company present in this market and that its share is therefore 100%.  </w:t>
        <w:br/>
        <w:t xml:space="preserve">VI.2. Demand Structure  </w:t>
        <w:br/>
        <w:t xml:space="preserve">(35) The demand for medical devices in Spain is primarily concentrated in public primary care hospitals (approximately [80-90]%) and, to a lesser extent, in the private sector ([10-20]%).  </w:t>
        <w:br/>
        <w:t xml:space="preserve">(36) The purchase of medical devices is generally organized through public tenders, which are held annually, where price is the most relevant factor. These public clients therefore have significant bargaining power.  </w:t>
        <w:br/>
        <w:t xml:space="preserve">(37) Regarding negotiations with private clients, these are large national insurance companies, which also enjoy high bargaining power.  </w:t>
        <w:br/>
        <w:t xml:space="preserve">VI.3. Barriers to Entry  </w:t>
        <w:br/>
        <w:t xml:space="preserve">(38) According to the notifier, there are no significant barriers for new entrants to the European markets, nor specifically to the Spanish market, as demonstrated by the high number of national and international suppliers present in them.  </w:t>
        <w:br/>
        <w:t xml:space="preserve">(39) The presence of small operators reflects that large investments or privileged access to financing are not necessary. Raw materials are readily available, there are independent distributors, and transportation costs are not significant. Furthermore, according to Eucomed, the sector is characterized by a relatively short product life cycle and a short payback period for investments.  </w:t>
        <w:br/>
        <w:t xml:space="preserve">(40) There are also no significant legal or regulatory barriers, although to ensure patient safety it is necessary to comply with a series of administrative procedures to obtain the corresponding authorizations.  </w:t>
        <w:br/>
        <w:t xml:space="preserve">VII. VALUATION OF THE OPERATION  </w:t>
        <w:br/>
        <w:t xml:space="preserve">(41) The acquisition of INVATEC, FOGAZZI, and KRAUTH by MEDTRONIC affects the sector of devices for the treatment of cardiovascular diseases used in minimally invasive interventions, both coronary and peripheral.  </w:t>
        <w:br/>
        <w:t xml:space="preserve">(42) FOGAZZI is an Italian operator that supplies raw materials to INVATEC on an exclusive basis. KRAUTH, for its part, is an exclusive distributor of INVATEC in the German market. Therefore, the change in the control structure of FOGAZZI and KRAUTH does not affect the competitive structure in the Spanish market, as they do not operate in it. However, the notifier considers that the acquisition of these two companies by MEDTRONIC constitutes a single concentration operation along with that of INVATEC. Indeed, in addition to formalizing the three acquisitions (INVATEC, FOGAZZI, and KRAUTH) in a single indivisible agreement and the existence of overlaps in the shareholding of the two Italian companies, the economic logic of the operation is that MEDTRONIC acquires the structure formed by the three acquired companies that present a certain vertical integration among them, rather than each of them separately.  </w:t>
        <w:br/>
        <w:t xml:space="preserve">(43) [...]  </w:t>
        <w:br/>
        <w:t xml:space="preserve">(44) Given the different specialization of both companies, there are no significant horizontal overlaps in most of the analyzed markets.  </w:t>
        <w:br/>
        <w:t xml:space="preserve">(45) Thus, in a first group of markets where the acquired company is present (expandable BX endovascular balloon stents, carotid SX stents, steerable endovascular guides, and balloon catheters for percutaneous transluminal angioplasty (PTA), all of which are of national dimension), the resulting share is below [10-20]%, so the supply structure will not be significantly affected.  </w:t>
        <w:br/>
        <w:t xml:space="preserve">(46) In a second group of markets where the acquired company is present, the operation also does not significantly modify the supply structure, as the resulting share is around 20-30%, the additions are small, and there are other significant competitors. This is the case in the markets of:  </w:t>
        <w:br/>
        <w:t xml:space="preserve">13 These procedures are outlined in Council Directive 93/42/EEC and Royal Decree 414/1996.  </w:t>
        <w:br/>
        <w:t>10</w:t>
      </w:r>
    </w:p>
    <w:p>
      <w:r>
        <w:t xml:space="preserve">DIRECCIÓN DE INVESTIGACIÓN  </w:t>
        <w:br/>
        <w:t xml:space="preserve">• Manufacturing and marketing of non-covered BMS metal stents for coronary interventions in Spain, where the resulting share is [20-30]%, with an addition of [0-10]%, and the leader Abbot has a share of [40-50]%.  </w:t>
        <w:br/>
        <w:t xml:space="preserve">• Manufacturing and marketing of ACTP balloon catheters for coronary interventions in Spain, where the resulting share is [20-30]%, with an addition of [0-10]%, and the leader Boston Scientific has a share of [30-40]%.  </w:t>
        <w:br/>
        <w:t xml:space="preserve">• Broad market for manufacturing and marketing of distal protection devices for coronary and peripheral interventions in Spain, where the resulting share is [20-30]%, with an addition of [0-10]%, and there are other significant competitors such as Boston Scientific ([10-20]%) and Izasa ([0-10]%).  </w:t>
        <w:br/>
        <w:t xml:space="preserve">• Narrow market for aspiration catheters for coronary and peripheral interventions in Spain, where the resulting share is [30-40]%, with an addition of [0-10]%, and there are other significant competitors such as Izasa ([10-20]%).  </w:t>
        <w:br/>
        <w:t xml:space="preserve">• Manufacturing and marketing of non-carotid SX stents in Spain, where the resulting share is [20-30]%, with an addition of [0-10]%, and the leader Boston Scientific has a share of [30-40]%, in addition to other significant competitors such as Abbot ([10-20]%) or EV 3 ([10-20]%).  </w:t>
        <w:br/>
        <w:t xml:space="preserve">(47) Finally, in the markets for manufacturing and marketing of coronary drug-eluting balloon catheters DEB in Spain and endovascular drug-eluting balloon catheters DEB in Spain, MEDTRONIC is not present, so the operation does not alter the supply structure. In the first of these markets, INVATEC is the second competitor, with a share of [20-30]%, behind B. Braun ([40-50]%). In the second, INVATEC's share would reach 100% in 2009.  </w:t>
        <w:br/>
        <w:t xml:space="preserve">(48) However, it should be noted that these two markets are for products whose first CE approvals were granted in 2009, so it is very likely that INVATEC's market share overstates its actual position in the markets, given that no significant entry barriers have been observed and that, according to the notifier, other competitors have already entered these markets.  </w:t>
        <w:br/>
        <w:t>(49) In particular, in the market for peripheral DEB catheters, B. Braun, Eurocore, and Aaschen Resonance are already in a position to market their own catheters after obtaining the corresponding approvals. However, the notifier claims to be unaware of the activity volume of its competitors, so, having been the first to start marketing its product in the second half of 2009, it assumes that its share in that year was 100%. Furthermore, the entry of new operators developing products whose launch in Spain is likely to alter the current supply structure is expected in the short term, such as Biotronik (launch expected for...</w:t>
      </w:r>
    </w:p>
    <w:p>
      <w:r>
        <w:rPr>
          <w:b/>
        </w:rPr>
        <w:t>[Pages 13–13]</w:t>
      </w:r>
    </w:p>
    <w:p>
      <w:r>
        <w:t xml:space="preserve">DIRECTORATE OF INVESTIGATION  </w:t>
        <w:br/>
        <w:t xml:space="preserve">(50) Furthermore, even considering MEDTRONIC's presence in other markets for devices for coronary interventions where INVATEC is not present (drug-eluting stents DES, steerable guidewires, and guide catheters, all for coronary interventions), it is not perceived that MEDTRONIC's strengthening through the acquisition of INVATEC is likely to substantially increase its strength in the device markets as a result of the portfolio effect, given that in these markets there are large rival companies that compete globally, such as J&amp;J-Guidant, Abbott, and Boston Scientific, in addition to other efficient competitors specialized in specific geographic areas and with a more limited range of products.  </w:t>
        <w:br/>
        <w:t xml:space="preserve">(51) Additionally, it is important to highlight that the concentration of demand and the significance in the awarding of contracts from tenders called by the public sector represent a limitation on the potential market power of the suppliers.  </w:t>
        <w:br/>
        <w:t xml:space="preserve">(52) Taking all of the above into account, it cannot be expected that the operation poses a threat to competition in the analyzed markets, and therefore it is likely to be approved in the first phase without commitments.  </w:t>
        <w:b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