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https://www.cnmc.es/expedientes/c022110</w:t>
      </w:r>
    </w:p>
    <w:p>
      <w:r>
        <w:t>Pages translated : 3</w:t>
      </w:r>
    </w:p>
    <w:p/>
    <w:p>
      <w:r>
        <w:rPr>
          <w:b/>
        </w:rPr>
        <w:t>[Pages 1–3]</w:t>
      </w:r>
    </w:p>
    <w:p>
      <w:r>
        <w:t xml:space="preserve">NATIONAL COMPETITION  </w:t>
        <w:br/>
        <w:t xml:space="preserve">COMMISSION  </w:t>
        <w:br/>
        <w:t xml:space="preserve">RESOLUTION (File C-0221/10, SABECO/EROSKI, Assets)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April 7, 2010.  </w:t>
        <w:br/>
        <w:t xml:space="preserve">Having reviewed the file processed in accordance with Law 15/2007, of July 3, on the Defense of Competition, regarding the acquisition by SUPERMERCADOS SABECO S.A., belonging to the AUCHAN Group, of five establishments owned by EROSKI SOCIEDAD COOPERATIVA (File C/0221/10), and agreeing with the report and proposal submitted by the Investigation Department, the Council of the National Competition Commission has resolved, under the application of Article 57.2.a) of the aforementioned Law, to authorize the said concentration operation in the first phase.  </w:t>
        <w:br/>
        <w:t>This Resolution shall be communicated to the Investigation Department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DEPARTMENT  </w:t>
        <w:br/>
        <w:t xml:space="preserve">REPORT AND PROPOSED RESOLUTION  </w:t>
        <w:br/>
        <w:t xml:space="preserve">FILE C/0221/10 SABECO / EROSKI (Assets)  </w:t>
        <w:br/>
        <w:t xml:space="preserve">I. BACKGROUND  </w:t>
        <w:br/>
        <w:t xml:space="preserve">(1) On March 16, 2010, a notification was submitted to the National Competition Commission (CNC) regarding the acquisition by SUPERMERCADOS SABECO, S.A. (hereinafter, SABECO), part of the AUCHAN Group, of five establishments owned by EROSKI SOCIEDAD COOPERATIVA (hereinafter, EROSKI).  </w:t>
        <w:br/>
        <w:t xml:space="preserve">(2) This transaction is the result of the modification of the Framework Agreement signed by the parties on July 20, 2009, which led to the CNC files C-0171/09 EROSKI / SABECO (Assets) and C-0172/09 SABECO / EROSKI (Assets), approved by the Council on September 2, 2009, in the first phase and without commitments.  </w:t>
        <w:br/>
        <w:t xml:space="preserve">(3) The notification has been made by SABECO, as established in Article 9 of Law 15/2007, of July 3, on the Defense of Competition, for exceeding the threshold established in Article 8.1.a). This operation is subject to the provisions of Royal Decree 261/2008, of February 22, which approves the Regulation on the Defense of Competition.  </w:t>
        <w:br/>
        <w:t xml:space="preserve">(4)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w:t>
        <w:br/>
        <w:t xml:space="preserve">(5) Furthermore, Article 38.2 of Law 15/2007 adds: "The passage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  </w:t>
        <w:br/>
        <w:t xml:space="preserve">(6) According to the above, the deadline to agree to initiate the second phase of the procedure is April 16, 2010, inclusive. After this date, the notified operation will be considered tacitly authorized.  </w:t>
        <w:br/>
        <w:t xml:space="preserve">II. APPLICABILITY OF LAW 15/2007 ON THE DEFENSE OF COMPETITION  </w:t>
        <w:br/>
        <w:t xml:space="preserve">(7) The notified operation is an economic concentration in the sense of Article 7.1.b) of Law 15/2007, of July 3, on the Defense of Competition.  </w:t>
        <w:br/>
        <w:t xml:space="preserve">(8) The operation is not of community dimension, as it does not reach the thresholds established in paragraphs 2 and 3 of Article 1 of Council Regulation (EC) No. 139/2004, of January 20, 2004, on the control of concentrations between undertakings.  </w:t>
        <w:br/>
        <w:t>(9) The notified operation meets the requirements set forth by Law 15/2007 for its mandatory notification, as it exceeds the threshold established in Article 8.1.a) of the same. It also meets the requirements set forth in Article 56.1.a) of Law 15/2007 for processing by expedited procedure.</w:t>
      </w:r>
    </w:p>
    <w:p>
      <w:r>
        <w:t xml:space="preserve">INVESTIGATION DEPARTMENT  </w:t>
        <w:br/>
        <w:t xml:space="preserve">III. PARTICIPATING COMPANIES  </w:t>
        <w:br/>
        <w:t xml:space="preserve">(10) SABECO is an active company primarily in the retail distribution sector of daily consumer goods in a self-service format, through the operation of large and medium-sized commercial establishments. SABECO belongs to the AUCHAN Group, whose capital is distributed among the members of a family and other individuals. None of the partners have controlling interests in companies operating in the market where the acquired assets are located.  </w:t>
        <w:br/>
        <w:t xml:space="preserve">(11) The acquired assets (the Establishments) are five commercial surfaces dedicated to the retail sale of daily consumer goods in a self-service format, owned by EROSKI. Of the acquired establishments, two are located in the province of Toledo, in the towns of Talavera de la Reina and Fuensalida, and three are located in the province of Ciudad Real, in the towns of Miguelturra, Bolaños de Calatrava, and Campo de Criptana.  </w:t>
        <w:br/>
        <w:t xml:space="preserve">IV. ASSESSMENT  </w:t>
        <w:br/>
        <w:t xml:space="preserve">(12) This Investigation Department considers that the present operation does not pose any competition issues, as it does not alter the structure of supply, in quantitative terms, in the retail distribution market of daily consumer products in self-service format in the geographical areas where the Establishments and their areas of influence are located.  </w:t>
        <w:br/>
        <w:t xml:space="preserve">V. PROPOSAL  </w:t>
        <w:br/>
        <w:t xml:space="preserve">In light of all the above and by virtue of Article 57.1 of Law 15/2007, of July 3, on the Defense of Competition, it is proposed to authorize the concentration, under the application of Article 57.2.a) of Law 15/2007, of July 3, on the Defense of Competition.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