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https://www.cnmc.es/expedientes/c022210</w:t>
      </w:r>
    </w:p>
    <w:p>
      <w:r>
        <w:t>Pages translated : 3</w:t>
      </w:r>
    </w:p>
    <w:p/>
    <w:p>
      <w:r>
        <w:rPr>
          <w:b/>
        </w:rPr>
        <w:t>[Pages 1–3]</w:t>
      </w:r>
    </w:p>
    <w:p>
      <w:r>
        <w:t>NATIONAL COMPETITION COMMISSION</w:t>
        <w:br/>
        <w:t>RESOLUTION (File C-0222/10, TRITON/STABILUS)</w:t>
        <w:br/>
        <w:t>COUNCIL</w:t>
        <w:br/>
        <w:t>Mr. Luis Berenguer Fuster, President</w:t>
        <w:br/>
        <w:t>Ms. Pilar Sánchez Núñez, Councilor</w:t>
        <w:br/>
        <w:t>Mr. Julio Costas Comesaña, Councilor</w:t>
        <w:br/>
        <w:t>Ms. Mª Jesús González López, Councilor</w:t>
        <w:br/>
        <w:t>Ms. Inmaculada Gutiérrez Carrizo, Councilor</w:t>
        <w:br/>
        <w:t>In Madrid, on March 24, 2010.</w:t>
        <w:br/>
        <w:t>Having reviewed the file processed in accordance with Law 15/2007, of July 3, on the Defense of Competition, regarding the acquisition of exclusive control of STABLE II S.à.r.l. (STABILUS Group) by TRITON MANAGERS III LIMITED and TFF III LIMITED, directly or indirectly (File C/0222/10), and agreeing with the report and proposal submitted by the Directorate of Investigation, the Council of the National Competition Commission has resolved, pursuant to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C/0222/10 TRITON/STABILUS</w:t>
        <w:br/>
        <w:t>I. BACKGROUND</w:t>
        <w:br/>
        <w:t>(1) On March 17, 2010, a notification was received by the National Competition Commission (CNC) regarding the acquisition of exclusive control of Stable II S.à.r.l. (STABILUS Group) by Triton Managers III Limited and TFF III Limited, directly or indirectly.</w:t>
        <w:br/>
        <w:t>(2) The deadline to agree to initiate the second phase of the procedure is April 17, 2010, inclusive. After this date, the notified operation will be considered tacitly authorized.</w:t>
        <w:br/>
        <w:t>II. APPLICABILITY OF LAW 15/2007 ON THE DEFENSE OF COMPETITION</w:t>
        <w:br/>
        <w:t>(3) The notified operation is an economic concentration in the sense of Article 7.1 b) of Law 15/2007, of July 3, on the Defense of Competition.</w:t>
        <w:br/>
        <w:t>(4) The operation is not of community dimension, as it does not reach the thresholds established in paragraphs 2 and 3 of Article 1 of Council Regulation (EC) No. 139/2004, of January 20, 2004, on the control of concentrations between undertakings.</w:t>
        <w:br/>
        <w:t>(5) The notified operation meets the requirements set forth by Law 15/2007 as it exceeds the thresholds established in Article 8.1. a) thereof and complies with the requirements set forth in Article 56.1 a) of Law 15/2007.</w:t>
        <w:br/>
        <w:t>III. PARTICIPATING COMPANIES</w:t>
        <w:br/>
        <w:t>III.1. Triton Managers III Limited ("TM III") and TFF III Limited ("TFF III")</w:t>
        <w:br/>
        <w:t>(6) They are general partners, directly and indirectly, of the funds known collectively as "Triton Fund III."</w:t>
        <w:br/>
        <w:t>(7) TM III, TFF III, and their affiliated companies are the general partners of several limited partnership companies and jointly form the Triton Funds.</w:t>
        <w:br/>
        <w:t>(8) The Triton Funds aim for strategic investment in medium-sized companies established in German-speaking countries and Nordic European countries. Currently, the Triton Funds control a number of companies in various economic sectors, different from those in which the acquired Group is active.</w:t>
        <w:br/>
        <w:t>III.2. Stable II S.à.r.l. (STABILUS)</w:t>
        <w:br/>
        <w:t>(9) It is a vehicle company created to control the STABILUS Group. Both Stable II S.à.r.l. and STABILUS are currently controlled by the U.S. private equity fund manager Paine Partners Private Equity.</w:t>
        <w:br/>
        <w:t>(10) STABILUS is the parent company of a group of companies dedicated to the manufacture and sale of gas springs, hydraulic dampers, and related products for various applications in the automotive sector, as well as for industrial applications and adjustments for ergonomic seats and components for vehicles.</w:t>
        <w:br/>
        <w:t>IV. ASSESSMENT</w:t>
        <w:br/>
        <w:t>(11) This Directorate of Investigation considers that the present concentration does not pose a threat to effective competition in the markets, as the operation will not result in any horizontal or vertical overlap, its only effect being the entry of the TRITON private equity group into the gas springs and hydraulic dampers markets in place of Paine Partners, without altering the structure of the supply in the same.</w:t>
        <w:br/>
        <w:t>V. PROPOSAL</w:t>
        <w:b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