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https://www.cnmc.es/expedientes/c022310</w:t>
      </w:r>
    </w:p>
    <w:p>
      <w:r>
        <w:t>Pages translated : 4</w:t>
      </w:r>
    </w:p>
    <w:p/>
    <w:p>
      <w:r>
        <w:rPr>
          <w:b/>
        </w:rPr>
        <w:t>[Pages 1–3]</w:t>
      </w:r>
    </w:p>
    <w:p>
      <w:r>
        <w:t xml:space="preserve">NATIONAL COMPETITION COMMISSION  </w:t>
        <w:br/>
        <w:t xml:space="preserve">RESOLUTION (File C-0223/10, BORGWARNER/DYTECH ENSA)  </w:t>
        <w:br/>
        <w:t xml:space="preserve">COUNCIL  </w:t>
        <w:br/>
        <w:t xml:space="preserve">Mr. Luis Berenguer Fuster,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In Madrid, on April 7, 2010.</w:t>
      </w:r>
    </w:p>
    <w:p>
      <w:r>
        <w:t>Having reviewed the file processed in accordance with Law 15/2007, of July 3, on the Defense of Competition, regarding the acquisition by BORGWARNER INC. of exclusive control over the company DYTECH ENSA (File C/0223/10), and agreeing with the report and proposal submitted by the Directorate of Investigation, the Council of the National Competition Commission has resolved, pursuant to Article 57.2.a) of the aforementioned Law, to authorize the said concentration operation in the first phase, with the exception of the non-solicitation clause, regarding the employees of the seller or the buyer, which is subject to the regulations on agreements between companies.</w:t>
      </w:r>
    </w:p>
    <w:p>
      <w:r>
        <w:t>This Resolution shall be communicated to the Directorate of Investigation of the National Competition Commission and notified to the interested parties, informing them that it concludes the administrative process and that a contentious-administrative appeal may be filed against it before the National Court, within two months from its notification.</w:t>
      </w:r>
    </w:p>
    <w:p>
      <w:r>
        <w:t xml:space="preserve">DIRECTORATE OF INVESTIGATION  </w:t>
        <w:br/>
        <w:t xml:space="preserve">REPORT AND PROPOSAL FOR RESOLUTION  </w:t>
        <w:br/>
        <w:t>FILE C/0223/10 BORGWARNER/DYTECH ENSA</w:t>
      </w:r>
    </w:p>
    <w:p>
      <w:r>
        <w:t xml:space="preserve">I. BACKGROUND  </w:t>
        <w:br/>
        <w:t xml:space="preserve">(1) On March 17, 2010, a notification was received by the National Competition Commission (CNC) regarding the acquisition by Borgwarner Inc.1 (hereinafter BORGWARNER) of exclusive control over the company Dytech Ensa, S.L. (hereinafter DYTECH ENSA).  </w:t>
        <w:br/>
        <w:t>(2) The deadline to decide to initiate the second phase of the procedure is April 17, 2010, inclusive. After this date, the notified operation will be considered tacitly authorized.</w:t>
      </w:r>
    </w:p>
    <w:p>
      <w:r>
        <w:t xml:space="preserve">II. ANCILLARY RESTRICTIONS  </w:t>
        <w:br/>
        <w:t xml:space="preserve">(3) The sale contract includes a non-solicitation of employees clause, whereby the seller and the buyer mutually agree, for a period of 2 years from the closing date, not to hire employees from the other party signing the contract, unless the participants have approved otherwise in writing.  </w:t>
        <w:br/>
        <w:t xml:space="preserve">(4) Section 3 of Article 10 of Law 15/2007 establishes that "certain ancillary restrictions on competition, directly linked to the operation and necessary for its realization, may be understood to be included."  </w:t>
        <w:br/>
        <w:t xml:space="preserve">(5) Taking into account national and community precedents, as well as the Commission's Communication on restrictions directly linked to the realization of a concentration and necessary for that purpose (2005/C 56/03), it is considered that in this case the content and duration of the non-solicitation clause, regarding the employees of the sold business, does not go beyond what is reasonably required by the notified concentration operation, so it can be understood as included within it.  </w:t>
        <w:br/>
        <w:t>(6) On the other hand, the non-solicitation clause, regarding the employees of the seller or the buyer, goes beyond what is reasonably required by the notified concentration operation, as it does not serve to protect the value of the acquired companies. For this reason, the non-solicitation clause, regarding the employees of the seller or the buyer, is subject to the regulations on agreements between companies.</w:t>
      </w:r>
    </w:p>
    <w:p>
      <w:r>
        <w:t xml:space="preserve">III. APPLICABILITY OF LAW 15/2007 ON THE DEFENSE OF COMPETITION  </w:t>
        <w:br/>
        <w:t xml:space="preserve">(7) The concentration operation consists of the acquisition by BORGWARNER of exclusive control over DYTECH ENSA.  </w:t>
        <w:br/>
        <w:t xml:space="preserve">(8) The operation is an economic concentration in accordance with the provisions of Article 7.1 b) of Law 15/2007, of July 3, on the Defense of Competition.  </w:t>
        <w:br/>
        <w:t>1 Borgwarner Inc (BORGWARNER) makes the acquisition through its vehicle company Borgwarner Spain Holdings, S.L.</w:t>
      </w:r>
    </w:p>
    <w:p>
      <w:r>
        <w:t xml:space="preserve">DIRECTORATE OF INVESTIGATION  </w:t>
        <w:br/>
        <w:t xml:space="preserve">(9) The notified operation does not have a Community dimension as the combined turnover of the parties does not reach the thresholds established in Article 1 of Regulation EC No. 139/2004 on the control of concentrations.  </w:t>
        <w:br/>
        <w:t>(10) The notified operation meets the requirements set forth by Law 15/2007, as it exceeds the threshold established in Article 8.1.a) of the same in the market for the manufacture of EGR radiators in Spain, and meets the requirements set forth in Article 56.1.a) of Law 15/2007 for processing by an abbreviated procedure.</w:t>
      </w:r>
    </w:p>
    <w:p>
      <w:r>
        <w:t xml:space="preserve">IV. PARTICIPATING COMPANIES  </w:t>
        <w:br/>
        <w:t xml:space="preserve">IV.1. BORGWARNER INC.  </w:t>
        <w:br/>
        <w:t xml:space="preserve">(11) BORGWARNER is a company whose activity is the worldwide manufacture and sale of automotive systems and components for powertrain applications. More specifically, it is active in two business lines: powertrains and engines. Within the engine division, it develops EGR valves for exhaust gas recirculation (Exhaust Gas Recirculation in English).  </w:t>
        <w:br/>
        <w:t>(12) BORGWARNER has a production plant in Vitoria, which manufactures components for cold starting of diesel engines.</w:t>
      </w:r>
    </w:p>
    <w:p>
      <w:r>
        <w:t xml:space="preserve">IV.2. DYTECH ENSA, S.L.  </w:t>
        <w:br/>
        <w:t xml:space="preserve">(13) DYTECH ENSA is a company whose activity focuses on the manufacture of components for motor vehicles; in particular, manipulated metal tubes and components manufactured with technology for EGR exhaust gas recirculation.  </w:t>
        <w:br/>
        <w:t>(14) In Spain, DYTECH ENSA has a production plant in Vigo dedicated to the manufacture of automotive components derived from the manipulation of metal tubes, as well as the manufacture and assembly of EGR components, except for the manufacture of EGR valves.</w:t>
      </w:r>
    </w:p>
    <w:p>
      <w:r>
        <w:t xml:space="preserve">V. ASSESSMENT  </w:t>
        <w:br/>
        <w:t xml:space="preserve">(15) This Directorate of Investigation considers that the present concentration does not pose a threat to effective competition, as the participants operate in different product markets within the EGR component system. BORGWARNER is present in the EGR valve market, with a marginal share at the global and European levels and no presence in Spain, while DYTECH ENSA is present in the manufacture and marketing of the remaining EGR components.  </w:t>
        <w:br/>
        <w:t>(16) Therefore, there is no horizontal or vertical overlap between the parties to the notified concentration operation, and there is no significant modification of the structure of the considered markets or of the competitive conditions therein.</w:t>
      </w:r>
    </w:p>
    <w:p>
      <w:r>
        <w:rPr>
          <w:b/>
        </w:rPr>
        <w:t>[Pages 4–4]</w:t>
      </w:r>
    </w:p>
    <w:p>
      <w:r>
        <w:t>DIRECTORATE OF INVESTIGATION</w:t>
      </w:r>
    </w:p>
    <w:p>
      <w:r>
        <w:t xml:space="preserve">VI. PROPOSAL  </w:t>
        <w:b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