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https://www.cnmc.es/expedientes/c022510</w:t>
      </w:r>
    </w:p>
    <w:p>
      <w:r>
        <w:t>Pages translated : 3</w:t>
      </w:r>
    </w:p>
    <w:p/>
    <w:p>
      <w:r>
        <w:rPr>
          <w:b/>
        </w:rPr>
        <w:t>[Pages 1–3]</w:t>
      </w:r>
    </w:p>
    <w:p>
      <w:r>
        <w:t xml:space="preserve">NATIONAL COMPETITION  </w:t>
        <w:br/>
        <w:t xml:space="preserve">COMMISSION  </w:t>
        <w:br/>
        <w:t xml:space="preserve">RESOLUTION (File C-0225/10, HARBINGER/SPECTRUM BRANDS)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 xml:space="preserve">In Madrid, on April 14, 2010.  </w:t>
        <w:br/>
        <w:t xml:space="preserve">Having reviewed the file processed in accordance with Law 15/2007, of July 3, on the Defense of Competition, regarding the acquisition by HARBINGER HOLDINGS LLC of exclusive control over SPECTRUM BRANDS (File C/0225/10), and being in agreement with the report and proposal submitted by the Directorate of Investigation, the Council of the National Competition Commission has resolved, pursuant to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C/0225/10 HARBINGER/SPECTRUM BRANDS  </w:t>
        <w:br/>
        <w:t xml:space="preserve">I. BACKGROUND  </w:t>
        <w:br/>
        <w:t xml:space="preserve">(1) On March 23, 2010, a notification was received by the National Competition Commission (CNC) regarding the acquisition by HARBINGER HOLDINGS LLC ("HARBINGER") (together with the private investment funds managed by its subsidiaries, Harbinger Capital Partners Master Fund 1, Ltd. and Harbinger Capital Partners Special Situations Fund, L.P., collectively, "the Harbinger Funds"), of exclusive control over SPECTRUM BRANDS ("SPECTRUM BRANDS").  </w:t>
        <w:br/>
        <w:t xml:space="preserve">(2) The deadline to decide to initiate the second phase of the procedure is April 23, 2010, inclusive. After this date, the notified operation will be considered tacitly authorized.  </w:t>
        <w:br/>
        <w:t xml:space="preserve">II. APPLICABILITY OF LAW 15/2007 ON THE DEFENSE OF COMPETITION  </w:t>
        <w:br/>
        <w:t xml:space="preserve">(3) The notified operation is an economic concentration in the sense of Article 7.1 b) of Law 15/2007, of July 3, on the Defense of Competition.  </w:t>
        <w:br/>
        <w:t xml:space="preserve">(4) The operation is not of community dimension, as it does not reach the thresholds established in paragraphs 2 and 3 of Article 1 of Council Regulation (EC) No. 139/2004 of January 20, 2004, on the control of concentrations between undertakings.  </w:t>
        <w:br/>
        <w:t xml:space="preserve">(5) The notified operation meets the requirements set forth by Law 15/2007 as it exceeds the thresholds established in Article 8.1.a) thereof and complies with the requirements set forth in Article 56.1.b) of Law 15/2007.  </w:t>
        <w:br/>
        <w:t xml:space="preserve">III. PARTICIPATING COMPANIES  </w:t>
        <w:br/>
        <w:t xml:space="preserve">III.1. HARBINGER HOLDINGS LLC ("HARBINGER")  </w:t>
        <w:br/>
        <w:t xml:space="preserve">(6) The Harbinger Funds specialize in investment strategies in companies in complicated situations or in case of new opportunities. The Harbinger Funds hold voting shares of Russell Hobbs, which markets small household appliances, including kitchen devices, irons, and personal care devices (health and beauty devices, especially related to hair care).  </w:t>
        <w:br/>
        <w:t xml:space="preserve">(7) The company that controls the Harbinger Funds is Harbinger Holdings, LLC, which is not controlled by any other company. Russell Hobbs is the only subsidiary of the Harbinger Funds that has sales in Spain.  </w:t>
        <w:br/>
        <w:t xml:space="preserve">III.2. SPECTRUM BRANDS ("SPECTRUM BRANDS")  </w:t>
        <w:br/>
        <w:t>(8) SPECTRUM BRANDS is a manufacturer and distributor of various consumer products that include consumer batteries, gardening products, insect repellents, pet care and accessories, as well as small household appliances, including personal care devices (health and beauty devices).</w:t>
      </w:r>
    </w:p>
    <w:p>
      <w:r>
        <w:t xml:space="preserve">DIRECTORATE OF INVESTIGATION  </w:t>
        <w:br/>
        <w:t xml:space="preserve">(9) It has a subsidiary in Spain, VARTA Remington Rayovac Spain, S.L., which is a 100% subsidiary of VARTA B.V. (Netherlands). It markets personal care devices under the Remington brand, as well as consumer batteries under the Varta and Rayovac brands.  </w:t>
        <w:br/>
        <w:t xml:space="preserve">IV. ASSESSMENT  </w:t>
        <w:br/>
        <w:t xml:space="preserve">(10) This Directorate of Investigation considers that the present concentration does not pose a threat to effective competition in the markets, as the market share of the parties to the operation is of little significance. In the activities where the parties overlap, specifically in the market for hair care devices, the parties reached a combined share in 2009 in Spain of [10-20]% (addition of [10-20]%).  </w:t>
        <w:br/>
        <w:t xml:space="preserve">(11) Furthermore, this is a highly fragmented market with other more significant competitors such as BABYLISS ([10-20]%), PHILIPS ([10-20]%), and ROWENTA ([10-20%]).  </w:t>
        <w:br/>
        <w:t xml:space="preserve">V. PROPOSAL  </w:t>
        <w:b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