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https://www.cnmc.es/expedientes/c022710</w:t>
      </w:r>
    </w:p>
    <w:p>
      <w:r>
        <w:t>Pages translated : 12</w:t>
      </w:r>
    </w:p>
    <w:p/>
    <w:p>
      <w:r>
        <w:rPr>
          <w:b/>
        </w:rPr>
        <w:t>[Pages 1–3]</w:t>
      </w:r>
    </w:p>
    <w:p>
      <w:r>
        <w:t xml:space="preserve">NATIONAL COMPETITION COMMISSION  </w:t>
        <w:br/>
        <w:t xml:space="preserve">RESOLUTION (File C-0227/10, GRUPO BANCA CÍVICA)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June 9, 2010.</w:t>
      </w:r>
    </w:p>
    <w:p>
      <w:r>
        <w:t>Having reviewed the file processed in accordance with Law 15/2007, of July 3, on the Defense of Competition, regarding the acquisition of exclusive control of CAJA DE AHORROS Y MONTE DE PIEDAD DE NAVARRA, CAJA GENERAL DE AHORROS DE CANARIAS, and CAJA DE AHORROS MUNICIPAL DE BURGOS, by the "Central Society," the head of Grupo Banca Cívica (File C/0227/10),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PROPOSED RESOLUTION  </w:t>
        <w:br/>
        <w:t>FILE C/0227/10 GRUPO BANCA CÍVICA</w:t>
      </w:r>
    </w:p>
    <w:p>
      <w:r>
        <w:t>I. BACKGROUND</w:t>
      </w:r>
    </w:p>
    <w:p>
      <w:r>
        <w:t>(1) On April 13, 2010, the National Competition Commission (CNC) received notification of the acquisition of exclusive control of CAJA DE AHORROS Y MONTE PIEDAD DE NAVARRA (CAJA NAVARRA), CAJA GENERAL DE AHORROS DE CANARIAS (CAJA CANARIAS), and CAJA DE AHORROS MUNICIPAL DE BURGOS (CAJA BURGOS) by the "Central Society," the head of Grupo Banca Cívica.</w:t>
      </w:r>
    </w:p>
    <w:p>
      <w:r>
        <w:t>(2) On April 15, 2010, this Directorate of Investigation requested from the Bank of Spain (BdE) the report provided for in Article 17.2.c) of Law 15/2007, of July 3, on the Defense of Competition (hereinafter LDC), in relation to the referenced file. Said report was received by the CNC on May 18, 2010.</w:t>
      </w:r>
    </w:p>
    <w:p>
      <w:r>
        <w:t>(3) The deadline to agree to initiate the second phase of the procedure is June 15, 2010, inclusive. After this date, the notified operation will be considered tacitly authorized.</w:t>
      </w:r>
    </w:p>
    <w:p>
      <w:r>
        <w:t>II. NATURE OF THE OPERATION</w:t>
      </w:r>
    </w:p>
    <w:p>
      <w:r>
        <w:t>(4) According to the notifying parties, the notified concentration operation consists of the integration of CAJA NAVARRA, CAJA CANARIAS, and CAJA BURGOS, through an Integration Contract dated December 3, 2009, by which these Savings Banks, which will maintain their own legal personality, will integrate their businesses and activities, which will be subject to the control of the parent company of Grupo Banca Cívica1, which will be established for this purpose as a credit institution (in particular, as a bank) and will exercise the unique and permanent economic direction of the Group.</w:t>
      </w:r>
    </w:p>
    <w:p>
      <w:r>
        <w:t xml:space="preserve">(5) The creation of Grupo Banca Cívica implies a functional integration and a financial integration of the three Savings Banks. The functional integration is structured around three main blocks:  </w:t>
        <w:br/>
        <w:t xml:space="preserve">• The pooling of businesses of the Savings Banks managed centrally by the Central Society and, specifically, the businesses of corporate banking, business with large companies, private banking, international development of the Group's banking business, retail banking in the Common Zone2 and abroad, specialized businesses3, and the industrial corporation of the Group.  </w:t>
        <w:br/>
        <w:t xml:space="preserve">Notwithstanding this business integration, the Savings Banks will maintain their management capacity regarding, on the one hand, the retail banking business in their Natural Zone, always within the framework of the commercial policy lines established by the Central Society and, on the other hand, the social and cultural work in their Natural Zone, always in accordance with the common strategy established by the Central Society.  </w:t>
        <w:br/>
        <w:t xml:space="preserve">• The centralization of policies and strategies of the Group that will be established by the Central Society, in particular: definition of commercial, financial, risk, industrial investment policies of the Savings Banks, accounting, human resources, corporate social responsibility, internal audit planning and regulatory compliance, and establishment of a common strategy for the Group as a model of competitive differentiation.  </w:t>
        <w:br/>
        <w:t>• The operational integration of the Group through the centralization of corporate services, integration of information systems and technological platforms through the development of a Technological Governance Model, centralization of marketing areas and communication policies, and establishment of a common branding policy.</w:t>
      </w:r>
    </w:p>
    <w:p>
      <w:r>
        <w:t xml:space="preserve">(6) For its part, the financial integration is structured around the following points:  </w:t>
        <w:br/>
        <w:t xml:space="preserve">• The establishment of an Institutional Protection System (“SIP”) to achieve a common risk management and a reinforcement of the solvency and liquidity of the entities of the Group, allowing them to present themselves to regulators and markets as a single entity and a single risk. In this regard, the participating Savings Banks will assume a reciprocal financial assistance obligation in the form of internal solvency and liquidity guarantees among the participating Savings Banks.  </w:t>
        <w:br/>
        <w:t xml:space="preserve">• The establishment of a Global Treasury System of the Group, whose management corresponds to the Central Society, which will at all times provide liquidity within the Group in accordance with the regime and program established in the Strategic Integration Plan.  </w:t>
        <w:br/>
        <w:t>• The establishment of a Mutual Participation System in Results, functionally equivalent to a cross-participation among the Savings Banks and not to the simple redistribution of profits, with the aim of strengthening the economic unity of the Group. With this System, the individual results of the Savings Banks would depend on their membership in the Group.</w:t>
      </w:r>
    </w:p>
    <w:p>
      <w:r>
        <w:t xml:space="preserve">2 The Common Zone refers to those that are not natural zones of the participating Savings Banks, with the Natural Zone of CAJA NAVARRA being the Foral Community of Navarra and the Autonomous Communities of the Basque Country, Aragon, and La Rioja; that of CAJA CANARIAS, the Autonomous Community of the Canary Islands; and that of CAJA BURGOS, the Autonomous Communities of Castilla y León and Cantabria.  </w:t>
        <w:br/>
        <w:t>3 Collective investment institutions, insurance, and specialized financing.</w:t>
      </w:r>
    </w:p>
    <w:p>
      <w:r>
        <w:rPr>
          <w:b/>
        </w:rPr>
        <w:t>[Pages 4–6]</w:t>
      </w:r>
    </w:p>
    <w:p>
      <w:r>
        <w:t>DIRECTORATE OF INVESTIGATION</w:t>
      </w:r>
    </w:p>
    <w:p>
      <w:r>
        <w:t>(7) The stakes of CAJA NAVARRA, CAJA CANARIAS, and CAJA BURGOS in the Central Society will be 41%, 30%, and 29%, respectively. The Board will make decisions on reserved matters, with the support of at least two-thirds of the voting rights. Decisions on matters reserved for the Council will require the affirmative vote of at least […] of the directors.</w:t>
      </w:r>
    </w:p>
    <w:p>
      <w:r>
        <w:t>(8) In light of the above, according to the notifying parties, the operation constitutes an acquisition of exclusive control of the three Savings Banks by the Central Society, which entails the creation of a single economic entity, which could serve as the basis for its consideration as a de facto concentration of the Savings Banks in the sense provided by paragraph 10 of the Consolidated Communication of the Commission on Jurisdictional Issues in Competition Matters.</w:t>
      </w:r>
    </w:p>
    <w:p>
      <w:r>
        <w:t>(9) Said paragraph 10 establishes that the type of concentration contemplated in letter a) of Article 3.1 of Regulation 139/2004 on the control of concentrations may also occur, that is, a merger between previously independent companies "when, despite not occurring a merger at the legal level, the combination of the activities of previously independent companies results in the creation of a single economic entity. This may occur especially when two or more companies, which retain their own legal personality, establish through contract a joint economic management or the structure of a dual-listed company. If it leads to a de facto merger of the participating companies into a single economic entity, it is considered a concentration operation. The existence of a unique and permanent economic management is an indispensable prerequisite to determine whether such a de facto concentration exists. Among other important factors, internal compensation of losses and gains or a distribution of income among the different entities of the group, as well as joint liability or the division of external risks, should be mentioned. (…).”</w:t>
      </w:r>
    </w:p>
    <w:p>
      <w:r>
        <w:t>(10) In light of the above and taking into account the provisions of paragraph 10 of the Consolidated Communication of the Commission on Jurisdictional Issues in Competition Matters, the Directorate of Investigation understands the notified operation, for the purposes of concentration control, as a de facto concentration between CAJA NAVARRA, CAJA CANARIAS, and CAJA BURGOS, which will maintain their legal personality and integrate their businesses and activities into Grupo Banca Cívica, whose head, the Central Society, will be a credit institution that will exercise the unique and permanent economic direction of the Group.</w:t>
      </w:r>
    </w:p>
    <w:p>
      <w:r>
        <w:t>III. APPLICABILITY OF LAW 15/2007 ON THE DEFENSE OF COMPETITION</w:t>
      </w:r>
    </w:p>
    <w:p>
      <w:r>
        <w:t>(11) The operation does not have a community dimension, as it does not meet the requirements set out in Article 1 of Council Regulation No. 139/2004, of January 20, 2004, on the control of concentrations between undertakings.</w:t>
      </w:r>
    </w:p>
    <w:p>
      <w:r>
        <w:t>(12) The notified operation meets the requirements set out by the LDC as it exceeds the threshold established in Article 8.1 b) thereof.</w:t>
      </w:r>
    </w:p>
    <w:p>
      <w:r>
        <w:t>IV. PARTICIPATING COMPANIES</w:t>
      </w:r>
    </w:p>
    <w:p>
      <w:r>
        <w:t>IV.1. CAJA DE AHORROS Y MONTE PIEDAD DE NAVARRA (CAJA NAVARRA)</w:t>
      </w:r>
    </w:p>
    <w:p>
      <w:r>
        <w:t>(13) CAJA NAVARRA is a credit institution of private foundational nature and charitable-social character that, with the legal status of a Savings Bank, carries out all types of credit, deposit, financial, and banking operations (retail banking, corporate banking, investment banking, and operations in the money markets), also developing social works.</w:t>
      </w:r>
    </w:p>
    <w:p>
      <w:r>
        <w:t>(14) It also carries out life insurance activities (risk life insurance, savings-retirement insurance, and individual and group life insurance), as well as activities related to the management of pension plans and funds. It also engages in life and non-life insurance intermediation activities in the branches of accidents, illness, death, fire and natural elements, various pecuniary losses, general civil liability, credit, surety, legal defense, land vehicles, transported goods, and assistance.</w:t>
      </w:r>
    </w:p>
    <w:p>
      <w:r>
        <w:t>(15) Additionally, and mainly through the Corporate Group of the Caja de Ahorros y Monte Piedad de Navarra S.A.U., the Caja Navarra Group holds industrial stakes for purely investment purposes in companies engaged in various sectors such as telecommunications, financial services, real estate, various industrial activities, management services, consulting and advisory, and research and development, among others.</w:t>
      </w:r>
    </w:p>
    <w:p>
      <w:r>
        <w:t>(16) CAJA NAVARRA is not under the control of any natural or legal person.</w:t>
      </w:r>
    </w:p>
    <w:p>
      <w:r>
        <w:t>(17) The billing of CAJA NAVARRA in the last financial year, according to Article 5 of Royal Decree 261/2008, is, according to the notifying parties, as follows:</w:t>
      </w:r>
    </w:p>
    <w:p>
      <w:r>
        <w:t xml:space="preserve">VOLUME OF BUSINESS OF CAJA NAVARRA. 2009  </w:t>
        <w:br/>
        <w:t xml:space="preserve">(Millions of euros)  </w:t>
        <w:br/>
        <w:t xml:space="preserve">WORLD EU SPAIN  </w:t>
        <w:br/>
        <w:t>&lt; 2,500 &gt; 250 &gt; 60</w:t>
      </w:r>
    </w:p>
    <w:p>
      <w:r>
        <w:t>IV.2. CAJA GENERAL DE AHORROS DE CANARIAS (CAJA CANARIAS)</w:t>
      </w:r>
    </w:p>
    <w:p>
      <w:r>
        <w:t>(18) CAJA CANARIAS is a credit institution of private foundational nature and charitable-social character that, with the legal status of a Savings Bank, carries out all types of credit, deposit, financial, and banking operations (retail banking, corporate banking, investment banking, and operations in the money markets), also developing social works.</w:t>
      </w:r>
    </w:p>
    <w:p>
      <w:r>
        <w:t>(19) It is additionally present in the insurance markets (life and non-life) and pension plans as an agent or intermediary. It holds a series of industrial stakes for purely investment purposes in the following sectors: real estate, telecommunications, and investment.</w:t>
      </w:r>
    </w:p>
    <w:p>
      <w:r>
        <w:t>(20) CAJA CANARIAS is not under the control of any natural or legal person.</w:t>
      </w:r>
    </w:p>
    <w:p>
      <w:r>
        <w:t>(21) The billing of CAJA CANARIAS in the last financial year, according to Article 5 of Royal Decree 261/2008, is, according to the notifying parties, as follows:</w:t>
      </w:r>
    </w:p>
    <w:p>
      <w:r>
        <w:t xml:space="preserve">VOLUME OF BUSINESS OF CAJA CANARIAS. 2009  </w:t>
        <w:br/>
        <w:t xml:space="preserve">(Millions of euros)  </w:t>
        <w:br/>
        <w:t xml:space="preserve">WORLD EU SPAIN  </w:t>
        <w:br/>
        <w:t>&lt; 2,500 &gt; 250 &gt; 60</w:t>
      </w:r>
    </w:p>
    <w:p>
      <w:r>
        <w:t>IV.3. CAJA DE AHORROS MUNICIPAL DE BURGOS (CAJA BURGOS)</w:t>
      </w:r>
    </w:p>
    <w:p>
      <w:r>
        <w:t>(22) CAJA BURGOS is a credit institution of private foundational nature and charitable-social character that, with the legal status of a Savings Bank, carries out all types of credit, deposit, financial, savings products, insurance, and complementary services, also developing social works.</w:t>
      </w:r>
    </w:p>
    <w:p>
      <w:r>
        <w:t>(23) CAJA BURGOS carries out life insurance activities (risk life and individual insurance) through Cajaburgos Vida, which began operations at the end of October 2008. It also engages in life and non-life insurance intermediation activities through Cajaburgos Operador de Bancaseguros Vinculado S.A. and marketing activities for life and non-life insurance and pension plans. It holds a series of industrial stakes for purely investment purposes in various services, industrial activities, real estate, hotel assets, and financial services.</w:t>
      </w:r>
    </w:p>
    <w:p>
      <w:r>
        <w:t>(24) CAJA BURGOS is not under the control of any natural or legal person.</w:t>
      </w:r>
    </w:p>
    <w:p>
      <w:r>
        <w:t>(25) The billing of CAJA BURGOS in the last financial year, according to Article 5 of Royal Decree 261/2008, is, according to the notifying parties, as follows:</w:t>
      </w:r>
    </w:p>
    <w:p>
      <w:r>
        <w:t>The CNC authorized on May 6, 2009, the acquisition of joint control of CAJA CANARIAS ASEGURADORA DE VIDA Y PENSIONES DE SEGUROS Y REASEGUROS, S.A (CAJA CANARIAS VIDA) by CAJA CANARIAS and CAJA DE SEGUROS REUNIDOS, COMPAÑÍA DE SEGUROS Y REASEGUROS, S.A (CASER). This entity obtained authorization from the Directorate General of Insurance and Pension Plans to carry out insurance activities on December 3, 2009, but did not carry out insurance activities in 2009.</w:t>
      </w:r>
    </w:p>
    <w:p>
      <w:r>
        <w:rPr>
          <w:b/>
        </w:rPr>
        <w:t>[Pages 7–9]</w:t>
      </w:r>
    </w:p>
    <w:p>
      <w:r>
        <w:t xml:space="preserve">DIRECTORATE OF INVESTIGATION  </w:t>
        <w:br/>
        <w:t xml:space="preserve">TURNOVER OF CAJA BURGOS. 2009  </w:t>
        <w:br/>
        <w:t xml:space="preserve">(Millions of euros)  </w:t>
        <w:br/>
        <w:t xml:space="preserve">WORLD EU SPAIN  </w:t>
        <w:br/>
        <w:t>&lt; 2,500 &gt; 250 &gt; 60</w:t>
      </w:r>
    </w:p>
    <w:p>
      <w:r>
        <w:t>V. MARKETS AFFECTED BY THE OPERATION</w:t>
      </w:r>
    </w:p>
    <w:p>
      <w:r>
        <w:t>(26) The economic sectors affected by the notified operation are the banking sector, the insurance sector, and the pension plan and fund management sector.</w:t>
      </w:r>
    </w:p>
    <w:p>
      <w:r>
        <w:t>(27) Existing national8 and community9 precedents have traditionally distinguished three segments within banking services:</w:t>
      </w:r>
    </w:p>
    <w:p>
      <w:r>
        <w:t>(28) Retail banking. Retail banking services are aimed at individuals, businesses, and SMEs. Retail banking maintains operations for a broad customer base that conducts a large number of small transactions, thus requiring an extensive network of branches to serve a large and often dispersed clientele. This segment encompasses various instruments such as deposit collection, granting of credits and loans, operations related to credit and debit cards, and the marketing of off-balance-sheet resources, such as investment funds, pension funds, and insurance.</w:t>
      </w:r>
    </w:p>
    <w:p>
      <w:r>
        <w:t>(29) In the case of the retail market of the Spanish banking system, the now-defunct Competition Defense Tribunal noted10 a decade ago that there were various reasons11 to consider local geographic markets (autonomous or regional), with the most limited being the provincial scope.</w:t>
      </w:r>
    </w:p>
    <w:p>
      <w:r>
        <w:t>(30) However, both the CNC12 and the European Commission have considered in their most recent precedents that, for banking directed at small savers and SMEs, the market may be of a national character, due to the fact that competitive conditions in the Member States are significantly different, among other factors, due to language differences, consumer preferences for local providers, different business cultures, and the importance that the branch network still holds in that banking segment. They also indicate a probable gradual decrease in these differences, as a result of the expansion of alternative distribution channels enabled by new technologies, especially in the areas of telephone and Internet banking.</w:t>
      </w:r>
    </w:p>
    <w:p>
      <w:r>
        <w:t>(31) Corporate banking. This segment encompasses banking services for large companies and public organizations and institutions. Its activity is developed in large financial centers, in a few highly specialized operational units, and with highly qualified personnel. It includes different products such as deposits, short and long-term loans, guarantee credits, commercial paper management, foreign trade financing, swaps, leasing, and factoring.</w:t>
      </w:r>
    </w:p>
    <w:p>
      <w:r>
        <w:t>(32) According to the notifying parties, the parties do not have a specific corporate banking services policy, as they include within their retail banking activity the services they offer to companies.</w:t>
      </w:r>
    </w:p>
    <w:p>
      <w:r>
        <w:t>(33) The European Commission has considered, in the cited precedents, that the geographic market is transnational and can be global in the case of large corporations and monetary market activities. However, in some national precedents13 it was considered that certain segments of corporate banking and investment banking products may have a national scope, particularly for small and medium-sized enterprises.</w:t>
      </w:r>
    </w:p>
    <w:p>
      <w:r>
        <w:t>(34) Investment banking and operations in monetary markets. This includes advisory services on the issuance of instruments - such as shares and other securities, admission to listing on organized markets, mergers and acquisitions, or privatizations - operations in financial markets - such as acquisition and sale of securities in primary and secondary markets, derivative operations, operations in foreign exchange markets, and other monetary markets - and private banking services (personalized advice to clients with large assets). The cited precedents consider that investment banking is of a supranational scope, potentially global in the case of monetary market activities, and national for certain operations.</w:t>
      </w:r>
    </w:p>
    <w:p>
      <w:r>
        <w:t>(35) Regarding insurance activity, both Spanish and community competition authorities have distinguished14 three broad product markets in the insurance sector: life insurance, non-life insurance, and reinsurance.</w:t>
      </w:r>
    </w:p>
    <w:p>
      <w:r>
        <w:t>(36) As for the geographic dimension of insurance markets, both the European Commission and national competition authorities agree, in the previously cited precedents, in establishing that the life and non-life insurance market aimed at private consumers is of a national character due, among other reasons, to the different structures of national markets, the need for adequate distribution channels, tax limitations, and consequently, the different regulations of each country to which foreign insurance entities must adapt. However, the European Commission appreciates a growing transnational activity.</w:t>
      </w:r>
    </w:p>
    <w:p>
      <w:r>
        <w:t>(37) Pension plans and funds, according to existing national precedents15, constitute a differentiated activity from life insurance, although they cover similar risks (such as obtaining financial compensation at retirement).</w:t>
      </w:r>
    </w:p>
    <w:p>
      <w:r>
        <w:t>(38) The market for pension plan and fund management is considered in community and national precedents to be of national dimension due, among other reasons, to the different structures of national markets, the need for adequate distribution channels, tax limitations, and, in summary, the different regulations of each country, to which foreign entities must adapt.</w:t>
      </w:r>
    </w:p>
    <w:p>
      <w:r>
        <w:t>VI. MARKET ANALYSIS</w:t>
      </w:r>
    </w:p>
    <w:p>
      <w:r>
        <w:t>VII.1. Supply Structure</w:t>
      </w:r>
    </w:p>
    <w:p>
      <w:r>
        <w:t>(39) According to the notifying parties16, the joint market share of the participating savings banks in the national retail banking market, in terms of branches, credits, and deposits from the resident private sector, amounted to [0-10%] in 2009.</w:t>
      </w:r>
    </w:p>
    <w:p>
      <w:r>
        <w:t>(40) The market share of the entity resulting from the operation in retail banking would exceed [10-20%] in the Autonomous Communities of Navarra and Canarias, with a joint share according to deposits from the resident private sector in 2009 of [40-50%] and [20-30%], respectively. Considering credits from the resident private sector and the number of offices in 2009, the market share of the resulting entity would be [30-40%] and [20-30%] in Navarra and [10-20%] and [10-20%] in Canarias. The additions to market share, regardless of the measurement parameter considered, do not exceed [0-10%] percentage points.</w:t>
      </w:r>
    </w:p>
    <w:p>
      <w:r>
        <w:rPr>
          <w:b/>
        </w:rPr>
        <w:t>[Pages 10–12]</w:t>
      </w:r>
    </w:p>
    <w:p>
      <w:r>
        <w:t>DIRECTORATE OF INVESTIGATION</w:t>
      </w:r>
    </w:p>
    <w:p>
      <w:r>
        <w:t>(41) Regarding the provincial scope, the market share of the entity resulting from the operation in retail banking would exceed [10-20%] in Santa Cruz de Tenerife and Burgos, with a combined share based on the number of offices of [20-30%] and [20-30%], respectively, with the increase in share in those territories being less than [0-10%]. Considering credits and deposits from the resident private sector in 2009, the combined share of the resulting entity is [30-40%] and [40-50%] in Santa Cruz de Tenerife and [20-30%] and [30-40%] in Burgos, with additions not exceeding [0-10%] percentage points.</w:t>
      </w:r>
    </w:p>
    <w:p>
      <w:r>
        <w:t>(42) In the rest of the Autonomous Communities or provinces where the parties are present, the shares of the new entity in retail banking are below [0-10%], except in Castilla y León17, La Rioja18, Las Palmas de Gran Canaria19, Palencia20, being in any case below [0-10%]. Furthermore, the increases in market shares in those territories that will occur as a result of the present operation would be less than [0-10%], except in La Rioja, where there would be an increase of [0-10%] points, and this only concerning the share based on credits to the resident private sector.</w:t>
      </w:r>
    </w:p>
    <w:p>
      <w:r>
        <w:t>(43) According to the notifying parties, the combined share of the participating Savings Banks in the national corporate banking market was [0-10%] in 2009.</w:t>
      </w:r>
    </w:p>
    <w:p>
      <w:r>
        <w:t>(44) Regarding investment banking and operations in the money markets, the combined share in Spain is [0-10%] in terms of the volume of managed assets in 2009.</w:t>
      </w:r>
    </w:p>
    <w:p>
      <w:r>
        <w:t>(45) In the insurance market, in the life branch, the combined market share in Spain is [0-10%]. Distinguishing between Individual Life and Group Life, the combined share is [0-10%] and [0-10%], respectively. In the Savings Life branch, the combined share is [0-10%] and in Risk Life it is [0-10%].</w:t>
      </w:r>
    </w:p>
    <w:p>
      <w:r>
        <w:t>(46) Finally, CAJA CANARIAS and CAJA BURGOS do not engage in fund management and pension plans, but only in intermediation or marketing in relation to them. The market share of CAJA NAVARRA in the market for managing pension plans and funds according to managed assets in 2009 is [0-10%].</w:t>
      </w:r>
    </w:p>
    <w:p>
      <w:r>
        <w:t>VII.2. Demand Structure and Distribution Channels</w:t>
      </w:r>
    </w:p>
    <w:p>
      <w:r>
        <w:t>(47) According to the notifying parties, in the retail banking sector, demand is quite fragmented, with many customers representing a small percentage of the sales volume of the entities. This demand is made up of individuals, who represent [90-100%] of the clientele, with the remaining [0-10%] distributed among the following: (i) commerce ([0-10%]); (ii) companies ([0-10%]), (iii) construction ([0-10%]); (iv) agriculture ([0-10%]); (v) tourism ([0-10%]) and (vi) organizations ([0-10%]).</w:t>
      </w:r>
    </w:p>
    <w:p>
      <w:r>
        <w:t>(48) Regarding distribution channels for retail banking, the main ones are the bank branch, self-service (ATMs or similar), telephone banking, online banking, and mobile banking.</w:t>
      </w:r>
    </w:p>
    <w:p>
      <w:r>
        <w:t>(49) The distribution of retail banking products and services through the aforementioned channels is carried out entirely by CAJA CANARIAS, CAJA NAVARRA, and CAJA BURGOS.</w:t>
      </w:r>
    </w:p>
    <w:p>
      <w:r>
        <w:t>VII.3. Barriers to Entry and Potential Competition</w:t>
      </w:r>
    </w:p>
    <w:p>
      <w:r>
        <w:t>(50) The liberalization of the Spanish financial system, as a result of European harmonization, has led to the elimination of a large part of the barriers to entry in the banking sector. All operators have access to the necessary technology, and price information is complete and available to consumers and entities, which implies greater transparency in the sector.</w:t>
      </w:r>
    </w:p>
    <w:p>
      <w:r>
        <w:t>(51) The notifying parties believe that potential competition in the retail banking market is given by the ability to expand distribution channels, especially telephone and online banking, and operators can also use their facilities in other territories.</w:t>
      </w:r>
    </w:p>
    <w:p>
      <w:r>
        <w:t>(52) The BdE considers that there is effective competition in the national retail banking market, with a high number of credit entities. Furthermore, the absence of barriers to entry allows new competitors to access this market, both in the short and medium term. Additionally, the BdE believes that the economic situation incorporates strong pressure for integration processes in the Spanish financial sector, within a framework of clear overcapacity.</w:t>
      </w:r>
    </w:p>
    <w:p>
      <w:r>
        <w:t>VIII. ASSESSMENT</w:t>
      </w:r>
    </w:p>
    <w:p>
      <w:r>
        <w:t>(53) The notified operation consists of a de facto concentration between CAJA NAVARRA, CAJA CANARIAS, and CAJA BURGOS, which will maintain their legal personality and integrate their businesses and activities into Grupo Banca Cívica, whose head, the Central Society, will be a credit entity that will exercise the unique and permanent economic direction of the Group.</w:t>
      </w:r>
    </w:p>
    <w:p>
      <w:r>
        <w:t>(54) The effects of the operation focus on the banking sector and especially on retail banking. It is not expected that the operation will modify the competitive structure of this market across the national territory, where the combined shares are below [0-10%].</w:t>
      </w:r>
    </w:p>
    <w:p>
      <w:r>
        <w:t>(55) Given the special impact of this operation on the natural territories of the participating Savings Banks, this Directorate of Investigation has also analyzed its local effects, concluding that no competition problems are expected in the Autonomous Communities of Navarra and Canarias (where the combined shares are above [10-20%], but with additions below [0-10%] percentage points), nor in Castilla y León (where the combined shares are below [10-20%]).</w:t>
      </w:r>
    </w:p>
    <w:p>
      <w:r>
        <w:t>(56) Regarding the provinces, in no case do combined shares exceed [0-10%].</w:t>
      </w:r>
    </w:p>
    <w:p>
      <w:r>
        <w:t>(57) In conclusion, it is not expected that the operation will modify the competitive structure of the affected markets, given the reduced market power of the participating Savings Banks in the national territory as well as in the retail banking markets in other territorial areas different from the territory of origin of each Savings Bank.</w:t>
      </w:r>
    </w:p>
    <w:p>
      <w:r>
        <w:t>(58) For its part, the BdE concludes that the operation will not hinder the maintenance of effective competition in the affected provincial and autonomous areas, much less at the national level, and considers that in a context of economic cycle deterioration in Spain, manifested in a strong increase in delinquency, decrease in solvency, significant real estate risk, and strong dependence on financing obtained in the wholesale market, the integration of these three entities is an adequate and reasonable solution, as it seeks greater efficiency through synergies, increased solvency, improved competitive position, and increased profitability.</w:t>
      </w:r>
    </w:p>
    <w:p>
      <w:r>
        <w:t>IV.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