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https://www.cnmc.es/expedientes/c022810</w:t>
      </w:r>
    </w:p>
    <w:p>
      <w:r>
        <w:t>Pages translated : 6</w:t>
      </w:r>
    </w:p>
    <w:p/>
    <w:p>
      <w:r>
        <w:rPr>
          <w:b/>
        </w:rPr>
        <w:t>[Pages 1–3]</w:t>
      </w:r>
    </w:p>
    <w:p>
      <w:r>
        <w:t xml:space="preserve">NATIONAL COMPETITION COMMISSION  </w:t>
        <w:br/>
        <w:t xml:space="preserve">RESOLUTION (File C-0228/10, CAIXA MANLLEU/CAIXA SABADELL/CAIXA TERRASSA)  </w:t>
        <w:br/>
        <w:t xml:space="preserve">COUNCIL  </w:t>
        <w:br/>
        <w:t xml:space="preserve">Mr. Luis Berenguer Fuster, President  </w:t>
        <w:br/>
        <w:t xml:space="preserve">Ms. Pilar Sánchez Núñez, Vice President  </w:t>
        <w:br/>
        <w:t xml:space="preserve">Mr. Julio Costas Comesaña, Council Member  </w:t>
        <w:br/>
        <w:t xml:space="preserve">Ms. Mª Jesús González López, Council Member  </w:t>
        <w:br/>
        <w:t xml:space="preserve">Ms. Inmaculada Gutiérrez Carrizo, Council Member  </w:t>
        <w:br/>
        <w:t>In Madrid, on May 13, 2010.</w:t>
      </w:r>
    </w:p>
    <w:p>
      <w:r>
        <w:t>Having reviewed the file processed in accordance with Law 15/2007, of July 3, on Competition Defense, regarding the merger between CAIXA D’ESTALVIS COMARCAL DE MANLLEU, CAIXA D’ESTALVIS DE SABADELL, and CAIXA D’ESTALVIS DE TERRASSA (File C/0228/10), and agreeing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 xml:space="preserve">INVESTIGATION DIRECTORATE  </w:t>
        <w:br/>
        <w:t xml:space="preserve">REPORT AND PROPOSAL FOR RESOLUTION  </w:t>
        <w:br/>
        <w:t>FILE C/0228/10 CAIXA MANLLEU/CAIXA SABADELL/CAIXA TERRASSA</w:t>
      </w:r>
    </w:p>
    <w:p>
      <w:r>
        <w:t xml:space="preserve">I. BACKGROUND  </w:t>
        <w:br/>
        <w:t xml:space="preserve">(1) On April 19, 2010, a notification regarding the merger between Caixa d’Estalvis Comarcal de Manlleu (CAIXA MANLLEU), Caixa d’Estalvis de Sabadell (CAIXA SABADELL), and Caixa d’Estalvis de Terrassa (CAIXA TERRASSA) was submitted to the National Competition Commission (CNC). This was through a Common Merger Project that the parties signed on April 13, 2010.  </w:t>
        <w:br/>
        <w:t xml:space="preserve">(2) On March 23, 2010, the parties requested support from the Bank of Spain (BDE) from the Fund for Orderly Bank Restructuring (FROB) in the amount of […]1 euros. On March 25, 2010, the BDE approved this support, which was subsequently approved by the European Commission on April 5, 2010.  </w:t>
        <w:br/>
        <w:t xml:space="preserve">(3) On April 21, 2010, this Investigation Directorate requested the report provided for in Article 17.2.c) of Law 15/2007, of July 3, on Competition Defense (hereinafter LDC), in relation to the reference file. This report was received by the CNC on May 4, 2010.  </w:t>
        <w:br/>
        <w:t>(4) The deadline to agree to initiate the second phase of the procedure is June 1, 2010, inclusive. After this date, the notified operation will be considered tacitly authorized.</w:t>
      </w:r>
    </w:p>
    <w:p>
      <w:r>
        <w:t xml:space="preserve">II. APPLICABILITY OF LAW 15/2007 ON COMPETITION DEFENSE  </w:t>
        <w:br/>
        <w:t xml:space="preserve">(5) The notified operation is an economic concentration in the sense of Article 7.1 a) of the LDC.  </w:t>
        <w:br/>
        <w:t xml:space="preserve">(6) The operation is not of community dimension, as it does not reach the thresholds established in paragraphs 2 and 3 of Article 1 of Council Regulation (EC) No. 139/2004 of January 20, 2004, on the control of concentrations between companies.  </w:t>
        <w:br/>
        <w:t>(7) The notified operation meets the requirements set forth by the LDC as it exceeds the threshold established in Article 8.1 b) of the same and complies with the requirements set forth in Article 56.1 b) of the aforementioned regulation.</w:t>
      </w:r>
    </w:p>
    <w:p>
      <w:r>
        <w:t xml:space="preserve">III. PARTICIPATING COMPANIES  </w:t>
        <w:br/>
        <w:t xml:space="preserve">(8) CAIXA MANLLEU is a savings bank and, therefore, a financial institution of a social nature and foundational character that is not controlled by any natural or legal person. CAIXA MANLLEU primarily engages in retail banking activities and, to a lesser extent, investment banking, and is the parent entity of the Caixa Mannleu Group, comprised of a set of companies that subsidiarily provide services in the fields of insurance brokerage and real estate promotion.  </w:t>
        <w:br/>
        <w:t xml:space="preserve">(9) CAIXA SABADELL is a savings bank and, therefore, a financial institution of a social nature and foundational character that is not controlled by any natural or legal person. CAIXA SABADELL primarily engages in retail banking activities and, to a lesser extent, investment banking, and is the parent entity of the Caixa Sabadell Group, comprised of a set of companies that carry out activities in the fields of insurance and real estate promotion.  </w:t>
        <w:br/>
        <w:t>(10) CAIXA TERRASSA is a savings bank and, therefore, a financial institution of a social nature and foundational character that is not controlled by any natural or legal person. CAIXA TERRASSA primarily engages in retail banking activities and, to a lesser extent, investment banking, and is the parent entity of the Caixa Terrassa Group, comprised of a set of companies that carry out activities in the fields of insurance and real estate promotion.</w:t>
      </w:r>
    </w:p>
    <w:p>
      <w:r>
        <w:t xml:space="preserve">IV. MARKETS AFFECTED BY THE OPERATION  </w:t>
        <w:br/>
        <w:t xml:space="preserve">(11) The main business of the entities participating in the operation is the provision of banking services.  </w:t>
        <w:br/>
        <w:t xml:space="preserve">(12) Existing national2 and community3 precedents have traditionally distinguished three segments within banking services.  </w:t>
        <w:br/>
        <w:t xml:space="preserve">(13) Retail banking. Retail banking services are aimed at the market of individuals, businesses, and SMEs. Retail banking maintains operations for a broad customer base that conducts a large number of small transactions, thus requiring an extensive network of branches to serve a large and often dispersed clientele. This segment encompasses various instruments such as deposit gathering, granting credits and loans, operations related to credit and debit cards, and the marketing of off-balance sheet resources, such as investment funds, pension funds, and insurance.  </w:t>
        <w:br/>
        <w:t xml:space="preserve">(14) The BDE considers in its report that deposits and loans are the most representative products of the competitiveness of credit and savings institutions, with the issuance of cards, as well as the number of offices, ATMs, or  </w:t>
        <w:br/>
        <w:t xml:space="preserve">2 Files C-0196-09 CAIXA CATALUNYA / CAIXA TARRAGONA / CAIXA MANRESA, C-0120/08 LLOYDS TSB / HBOS, and C-0050/08 LA CAIXA / MORGAN STANLEY of the CNC; Files N-06098 EL MONTE / CAJA SAN FERNANDO, N-06053 BANCO SABADELL / BANCO URQUIJO, and N-03077 BANCO SABADELL / BANCO ATLÁNTICO of the defunct SDC and Resolutions C61/00 BANCO HERRERO / BANCO SABADELL, C51/00 CAJAS NAVARRAS, C43/99 CAIXA VIGO / CAIXA OURENSE / CAIXA PONTEVEDRA, C47/99 BBV / ARGENTARIA, and C39/99 BANCO SANTANDER / BANCO CENTRAL HISPANOAMERICANO of the defunct TDC.  </w:t>
        <w:br/>
        <w:t>3 Cases M.4844 FORTIS / ABN AMRO ASSETS, M.3894 UNICREDITO / HVB, and M.2225 FORTIS / ASR, among others.</w:t>
      </w:r>
    </w:p>
    <w:p>
      <w:r>
        <w:rPr>
          <w:b/>
        </w:rPr>
        <w:t>[Pages 4–6]</w:t>
      </w:r>
    </w:p>
    <w:p>
      <w:r>
        <w:t xml:space="preserve">RESEARCH DIRECTORATE  </w:t>
        <w:br/>
        <w:t xml:space="preserve">other distribution channels directly related parameters with the above and, therefore, secondary.  </w:t>
        <w:br/>
        <w:t xml:space="preserve">(15) In the case of the retail market of the Spanish banking system, the now-defunct Tribunal de Defensa de la Competencia4 noted a decade ago that there were various reasons5 to consider local geographic markets (autonomous or regional), with the smallest being at the provincial level.  </w:t>
        <w:br/>
        <w:t xml:space="preserve">(16) However, both the CNC and the European Commission have considered in their most recent precedents that, for banking aimed at small savers and SMEs, the market can be of a national character, due to the fact that competitive conditions in the Member States are significantly different, as a result, among other factors, of the differences in language, consumer preferences for local providers, different business cultures, and the importance that the branch network still holds in that banking segment. They also indicate a gradual decrease in these differences as a result of the expansion of alternative distribution channels enabled by new technologies, especially in the areas of telephone and Internet banking.  </w:t>
        <w:br/>
        <w:t xml:space="preserve">(17) In its report, the BDE indicates that the three entities concentrate most of their activity in the Autonomous Community of Catalonia, although they also have branches in the rest of Spain.  </w:t>
        <w:br/>
        <w:t xml:space="preserve">(18) Given the special concentration of the parties' activity in Catalonia, the impact of the operation will be analyzed in Spain, in the Autonomous Community as a whole, and also in each of its provinces, despite the fact that, for the reasons stated, this Research Directorate considers that, currently, the retail banking market is not of local dimension but national.  </w:t>
        <w:br/>
        <w:t xml:space="preserve">(19) Corporate banking. This segment encompasses banking services to large companies and public bodies and institutions. Its activity is carried out in large financial centers, in few highly specialized operational units, and with highly qualified personnel. It includes different products such as deposits, short and long-term loans, guarantee credits, commercial paper management, foreign trade financing, swaps, leasing, and factoring.  </w:t>
        <w:br/>
        <w:t xml:space="preserve">(20) In this case, the cited precedents consider that the relevant geographic scope is supranational, potentially global in the case of large corporations, although certain services continue to be offered at the national level, particularly for medium and small enterprises.  </w:t>
        <w:br/>
        <w:t xml:space="preserve">4 See Reports from the now-defunct TDC: C43/99 CAIXA VIGO / CAIXA OURENSE / CAIXA PONTEVEDRA and C61/00 BANCO HERRERO / BANCO SABADELL.  </w:t>
        <w:br/>
        <w:t xml:space="preserve">5 A particularly relevant factor for delineating the scope of the geographic market is the preference that retail banking customers give to the proximity of a bank branch as a decisive element in choosing their credit institution, given that proximity to the customer allows for the establishment and development of trust and mutual knowledge relationships that are still very important in this business.  </w:t>
        <w:br/>
        <w:t xml:space="preserve">3.  </w:t>
        <w:br/>
        <w:t xml:space="preserve">RESEARCH DIRECTORATE  </w:t>
        <w:br/>
        <w:t xml:space="preserve">(21) According to the notifying parties, they do not have a specific corporate banking services policy, as they include the services they offer to companies within their retail banking activity.  </w:t>
        <w:br/>
        <w:t xml:space="preserve">(22) Investment banking and operations in the money markets. This includes advisory services on the issuance of instruments, operations in financial markets, and private banking services (personalized advice to clients with large assets).  </w:t>
        <w:br/>
        <w:t xml:space="preserve">(23) As in the previous case, the precedents consider this market to be supranational, potentially global in the case of money market activities and national for certain operations.  </w:t>
        <w:br/>
        <w:t xml:space="preserve">(24) The presence of the parties in this segment is marginal and is primarily focused on private banking services.  </w:t>
        <w:br/>
        <w:t xml:space="preserve">(25) The participants also provide, through companies in their respective groups, real estate promotion and insurance marketing services.  </w:t>
        <w:br/>
        <w:t xml:space="preserve">(26) National precedents segment these markets into various types of real estate services6 and insurance products7 and consider that the relevant geographic scope is national.  </w:t>
        <w:br/>
        <w:t xml:space="preserve">V. SHARES OF THE PARTICIPANTS  </w:t>
        <w:br/>
        <w:t xml:space="preserve">(27) According to the notifying parties and the BDE, the joint share of the parties in the retail banking market in Spain in 2009 was less than [0-10]% and in the Autonomous Community of Catalonia, less than [10-20]%.  </w:t>
        <w:br/>
        <w:t xml:space="preserve">(28) The joint share of the parties in the retail banking market, in terms of loans and deposits, was less than [10-20]% in 2009 in all Catalan provinces.  </w:t>
        <w:br/>
        <w:t xml:space="preserve">(29) On the other hand, according to the notifying parties, the joint share of the parties in Spain in the private banking segment was [0-10]% in 20088 and in the other markets in which they are present (basically, real estate and insurance services), less than [0-10]% in 2009.  </w:t>
        <w:br/>
        <w:t xml:space="preserve">6 See, for example, the files from the now-defunct SDC N-07040 SANDO/AGOFER, N-07037 INMOCARAL /RIOFISA, N-07004 PROMOCIONES HABITAT/FERROVIAL INMOBILIARIA, N-06122 ASTROC MEDITERRANEO/LANDSCAPE, N-06108 ASTROC MEDITERRANEO/RAVET, N-06074 GRUPO SAN JOSE/PARQUESOL, N-06073 REYAL/URBIS and N-06061 INMOCARAL/INMOBILIARIA COLONIAL.  </w:t>
        <w:br/>
        <w:t xml:space="preserve">7 See, for example, the files of the CNC C-100/08 REALE/CAIXA TERRASSA/PREVISIÓ, C-0085/08 ADESLAS/GRUPO LINCE and C-0066/08 MAPFRE/CAJA DUERO/DUERO VIDA/DUERO PENSIONES.  </w:t>
        <w:br/>
        <w:t xml:space="preserve">8 The parties do not have updated information for the year 2009. However, they estimate that their joint share in private banking will be almost identical to that of the year 2008.  </w:t>
        <w:br/>
        <w:t xml:space="preserve">4.  </w:t>
        <w:br/>
        <w:t xml:space="preserve">RESEARCH DIRECTORATE  </w:t>
        <w:br/>
        <w:t xml:space="preserve">VI. ASSESSMENT  </w:t>
        <w:br/>
        <w:t xml:space="preserve">(30) Taking into account all of the above, this Research Directorate considers that the present concentration does not pose a threat to effective competition in the markets, as the participation of the parties in the operation in the markets is of little importance.  </w:t>
        <w:br/>
        <w:t xml:space="preserve">(31) In particular, it is not expected that the operation will modify the competitive structure of the retail banking market, in the relevant geographic area, the entire national territory, where the joint shares are below [0-10]%.  </w:t>
        <w:br/>
        <w:t xml:space="preserve">(32) Given the special impact of the present operation on Catalonia, this Research Directorate has also analyzed its local effects, concluding that no competition problems are expected either in Catalonia (where the joint shares are below [10-20]%), nor in the more restrictive scenario in which each Catalan province is considered individually, since numerous entities compete and no substantial entry barriers have been detected.  </w:t>
        <w:br/>
        <w:t xml:space="preserve">(33) Regarding private banking and other activities in which the parties are active (basically, real estate and insurance services), the presence of the merged entity will be marginal, with joint shares in Spain of [0-10]% and below [0-10]%, respectively.  </w:t>
        <w:br/>
        <w:t xml:space="preserve">(34) For its part, the BDE considers that the economic situation incorporates strong pressure for integration processes to be undertaken in the Spanish financial sector, in a context of clear overcapacity. In relation to the notified operation, the BDE concludes that it does not hinder the maintenance of effective competition in the affected provincial and autonomous areas, much less at the national level.  </w:t>
        <w:br/>
        <w:t xml:space="preserve">VII. PROPOSAL  </w:t>
        <w:br/>
        <w:t xml:space="preserve">In light of all the above and by virtue of Article 57.1 of Law 15/2007, of July 3, on the Defense of Competition, it is proposed to authorize the concentration, in application of Article 57.2.a) of Law 15/2007, of July 3, on the Defense of Competition.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