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https://www.cnmc.es/expedientes/c022910</w:t>
      </w:r>
    </w:p>
    <w:p>
      <w:r>
        <w:t>Pages translated : 3</w:t>
      </w:r>
    </w:p>
    <w:p/>
    <w:p>
      <w:r>
        <w:rPr>
          <w:b/>
        </w:rPr>
        <w:t>[Pages 1–3]</w:t>
      </w:r>
    </w:p>
    <w:p>
      <w:r>
        <w:t>NATIONAL COMPETITION COMMISSION RESOLUTION (File C-0229/10, SUN CAPITAL/FAMOSA) COUNCIL D. Luis Berenguer Fuster, President Dª Pilar Sánchez Núñez, Vice President D. Julio Costas Comesaña, Councilor Dª Mª Jesús González López, Councilor Dª Inmaculada Gutiérrez Carrizo, Councilor In Madrid, on May 5, 2010. Having reviewed the file processed in accordance with Law 15/2007, of July 3, on the Defense of Competition, regarding the acquisition by SUN CAPITAL PARTNERS V L.P., through a newly created company, of the entire share capital of FABRICAS AGRUPADAS DE MUÑECAS DE ONIL S.A. (FAMOSA) (File C/0229/10), and agreeing with the report and proposal submitted by the Directorate of Investigation, the Council of the National Competition Commission has resolved, in application of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DIRECTORATE OF INVESTIGATION REPORT AND PROPOSAL FOR RESOLUTION FILE C/0229/10 SUN CAPITAL/FAMOSA I. BACKGROUND (1) On April 22, 2010, a notification was received by the National Competition Commission (CNC) regarding the acquisition by SUN CAPITAL PARTNERS V, L.P., through a newly created company, of the entire share capital of FABRICAS AGRUPADAS DE MUÑECAS DE ONIL, S.A. (FAMOSA). (2) The deadline to decide to initiate the second phase of the procedure is May 22, 2010, inclusive. After this date, the notified operation will be considered tacitly authorized. II. APPLICABILITY OF LAW 15/2007 ON THE DEFENSE OF COMPETITION (3) The notified operation is an economic concentration in the sense of Article 7.1 b) of the LDC. (4) The operation is not of community dimension, as it does not reach the thresholds established in paragraphs 2 and 3 of Article 1 of Regulation (EC) No. 139/2004 of the Council, of January 20, 2004, on the control of concentrations between companies. (5) The notified operation meets the requirements set forth by the LDC as it exceeds the threshold established in Article 8.1.a) and b) of the same and meets the requirements set forth in Article 56.1 a) of the aforementioned regulation. III. PARTICIPATING COMPANIES (6) SUN CAPITAL PARTNERS V, L.P. is an investment fund that is part of the SUN CAPITAL Group dedicated to making acquisitions of equity, debt, and other investments in companies present in various sectors of activity: paper and packaging, food and beverages, metals and mining, automotive parts, consumer products, financial services, healthcare, media, construction materials, telecommunications, technology, retail, catalogs, restaurants, etc. (7) FABRICAS AGRUPADAS DE MUÑECAS DE ONIL, S.A. is a company active in the design, manufacture, and sale of all categories of traditional toys (excluding video games). IV. ASSESSMENT (8) This Directorate of Investigation considers that the present concentration does not pose a threat to effective competition in the markets, as there are no horizontal or vertical overlaps between the activities of the parties and therefore, there is no significant modification of the structure of the considered markets or of the conditions of competition therein. V. PROPOSAL 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